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spacing w:before="1"/>
        <w:ind w:left="0"/>
        <w:rPr>
          <w:rFonts w:ascii="Times New Roman"/>
          <w:sz w:val="26"/>
        </w:rPr>
      </w:pPr>
    </w:p>
    <w:p>
      <w:pPr>
        <w:spacing w:before="49"/>
        <w:ind w:left="1485" w:right="1597" w:firstLine="0"/>
        <w:jc w:val="center"/>
        <w:rPr>
          <w:rFonts w:hint="eastAsia" w:ascii="宋体" w:eastAsia="宋体"/>
          <w:b/>
          <w:sz w:val="36"/>
        </w:rPr>
      </w:pPr>
      <w:bookmarkStart w:id="0" w:name="北京大学金融与投资（私募、基金）研修班"/>
      <w:bookmarkEnd w:id="0"/>
      <w:r>
        <w:rPr>
          <w:rFonts w:hint="eastAsia" w:ascii="宋体" w:eastAsia="宋体"/>
          <w:b/>
          <w:sz w:val="36"/>
        </w:rPr>
        <w:t>北京大学金融与投资（私募、基金）研修班</w:t>
      </w:r>
    </w:p>
    <w:p>
      <w:pPr>
        <w:spacing w:before="241"/>
        <w:ind w:left="1480" w:right="1597" w:firstLine="0"/>
        <w:jc w:val="center"/>
        <w:rPr>
          <w:rFonts w:hint="eastAsia" w:ascii="宋体" w:eastAsia="宋体"/>
          <w:b/>
          <w:sz w:val="32"/>
        </w:rPr>
      </w:pPr>
      <w:r>
        <w:rPr>
          <w:rFonts w:hint="eastAsia" w:ascii="宋体" w:eastAsia="宋体"/>
          <w:b/>
          <w:sz w:val="32"/>
        </w:rPr>
        <w:t>北大培训 20200317 号</w:t>
      </w:r>
    </w:p>
    <w:p>
      <w:pPr>
        <w:pStyle w:val="3"/>
        <w:ind w:left="0"/>
        <w:rPr>
          <w:rFonts w:ascii="宋体"/>
          <w:b/>
          <w:sz w:val="32"/>
        </w:rPr>
      </w:pPr>
    </w:p>
    <w:p>
      <w:pPr>
        <w:pStyle w:val="2"/>
        <w:spacing w:before="218"/>
      </w:pPr>
      <w:r>
        <w:t>【教育单位】</w:t>
      </w:r>
    </w:p>
    <w:p>
      <w:pPr>
        <w:pStyle w:val="3"/>
        <w:spacing w:before="166" w:line="213" w:lineRule="auto"/>
        <w:ind w:right="271" w:firstLine="480"/>
        <w:jc w:val="both"/>
      </w:pPr>
      <w:r>
        <w:t>北京大学是教育部直属的国家重点大学，位列国家“双一流”大学和学科建设首位。北京大学经济学院始于 1902 年的京师大学堂商科和 1912 年的经济学门（系），是北京大学历史最悠久的院系之一，也是中国高等院校中最早建立的专门经济系科。</w:t>
      </w:r>
    </w:p>
    <w:p>
      <w:pPr>
        <w:pStyle w:val="3"/>
        <w:spacing w:before="151" w:line="213" w:lineRule="auto"/>
        <w:ind w:right="230" w:firstLine="480"/>
        <w:jc w:val="both"/>
      </w:pPr>
      <w:r>
        <w:t>北京大学经济学院的马克思主义政治经济学、西方经济学、国际经济学、中外经济史学等学科传统深厚，享誉学界。财政学、金融学、风险管理与保险学、人口资源与环境经济学</w:t>
      </w:r>
      <w:r>
        <w:rPr>
          <w:spacing w:val="-5"/>
        </w:rPr>
        <w:t xml:space="preserve">等新兴学科特色鲜明，发展迅猛。目前经济学排名已经进入全球 </w:t>
      </w:r>
      <w:r>
        <w:t>ESI 指数的前 1</w:t>
      </w:r>
      <w:r>
        <w:rPr>
          <w:spacing w:val="-9"/>
        </w:rPr>
        <w:t>%行列，居国</w:t>
      </w:r>
      <w:r>
        <w:t>内领先地位。研究成果对我国的经济改革与社会发展产生着重大的影响和推动作用，为改革开放和新时代中国特色社会主义建设做出了重要的智力贡献。</w:t>
      </w:r>
    </w:p>
    <w:p>
      <w:pPr>
        <w:pStyle w:val="3"/>
        <w:spacing w:before="155" w:line="213" w:lineRule="auto"/>
        <w:ind w:right="271" w:firstLine="480"/>
        <w:jc w:val="both"/>
      </w:pPr>
      <w:r>
        <w:t>北京大学经济学院是国家教育部确定的“国家经济学基础人才培养基地”和“全国人才培养模式创新实验区”。教育目标是为未来大师级的学者、大企业家、大科学家、大政治家注入优秀的“基因”。其悠久的历史、深厚的学术底蕴、重要的学术地位、不断创新的人才培养模式，吸引着来自全国乃至世界各地的优秀学子。</w:t>
      </w:r>
    </w:p>
    <w:p>
      <w:pPr>
        <w:pStyle w:val="2"/>
      </w:pPr>
      <w:r>
        <w:t>【研修背景】</w:t>
      </w:r>
    </w:p>
    <w:p>
      <w:pPr>
        <w:pStyle w:val="3"/>
        <w:spacing w:before="166" w:line="213" w:lineRule="auto"/>
        <w:ind w:right="271" w:firstLine="480"/>
        <w:jc w:val="both"/>
      </w:pPr>
      <w:r>
        <w:t>当前，中国金融政策及热点问题越来越受到广泛关注，国内、国际金融市场高度关联并互相产生深远影响。“北京大学金融与投资（私募、基金）研修班”将引领未来金融家、投资家顺应世界多极化、经济全球化、文化多样化、社会信息化的潮流，突破同类课程仅限于</w:t>
      </w:r>
    </w:p>
    <w:p>
      <w:pPr>
        <w:pStyle w:val="3"/>
        <w:spacing w:line="211" w:lineRule="auto"/>
        <w:ind w:right="110"/>
      </w:pPr>
      <w:r>
        <w:t>“术”层面进行讲解所导致的同质性，以前沿的课程内容，多层次、多维度的延展决策者的</w:t>
      </w:r>
      <w:r>
        <w:rPr>
          <w:spacing w:val="-10"/>
        </w:rPr>
        <w:t>视野，以全局的胸怀，世界的眼光，把握金融政策动向，追踪前沿热点问题，发现投资价值。</w:t>
      </w:r>
    </w:p>
    <w:p>
      <w:pPr>
        <w:pStyle w:val="3"/>
        <w:spacing w:before="159" w:line="213" w:lineRule="auto"/>
        <w:ind w:right="271" w:firstLine="480"/>
        <w:jc w:val="both"/>
      </w:pPr>
      <w:r>
        <w:t>无论您处在哪一个行业，无论您的企业是大是小，都面临着如何利用资本市场实现持续发展和快速增值的问题，“北京大学金融与投资（私募、基金）研修班”将以全新的理念， 帮您探究突破瓶颈的有效路径。可以让您明确方向，发现投资价值，掌握投资成功之道，确立领先地位，并有效地达到目标，保持持续的赢利能力。如果您还在菜鸟群中艰难地跋涉， 对未来感到迷惘，在这里，我们将与您共同探索新金融时代投资的全新理念，破除传统的迷思，破解最卓越者的成功基因，把握新制胜的法则，共同开创高回报的实战课程。</w:t>
      </w:r>
    </w:p>
    <w:p>
      <w:pPr>
        <w:pStyle w:val="2"/>
      </w:pPr>
      <w:r>
        <w:t>【研修目的】</w:t>
      </w:r>
    </w:p>
    <w:p>
      <w:pPr>
        <w:pStyle w:val="3"/>
        <w:spacing w:before="164" w:line="213" w:lineRule="auto"/>
        <w:ind w:right="271" w:firstLine="480"/>
        <w:jc w:val="both"/>
      </w:pPr>
      <w:r>
        <w:t>“北京大学金融与投资（私募、基金）研修班”主要以北京大学校内外的优秀教师和知名学者为主讲师资，采用老师讲授、实战分析、案例研讨相结合的方式教学，旨在：</w:t>
      </w:r>
    </w:p>
    <w:p>
      <w:pPr>
        <w:pStyle w:val="8"/>
        <w:numPr>
          <w:ilvl w:val="0"/>
          <w:numId w:val="1"/>
        </w:numPr>
        <w:tabs>
          <w:tab w:val="left" w:pos="953"/>
        </w:tabs>
        <w:spacing w:before="127" w:after="0" w:line="240" w:lineRule="auto"/>
        <w:ind w:left="952" w:right="0" w:hanging="360"/>
        <w:jc w:val="left"/>
        <w:rPr>
          <w:sz w:val="24"/>
        </w:rPr>
      </w:pPr>
      <w:r>
        <w:rPr>
          <w:spacing w:val="-14"/>
          <w:sz w:val="24"/>
        </w:rPr>
        <w:t>洞悉全球金融市场脉络，洞悉金融体制改革与经济增长方式转变，在经济转型中充电，</w:t>
      </w:r>
    </w:p>
    <w:p>
      <w:pPr>
        <w:spacing w:after="0" w:line="240" w:lineRule="auto"/>
        <w:jc w:val="left"/>
        <w:rPr>
          <w:sz w:val="24"/>
        </w:rPr>
        <w:sectPr>
          <w:headerReference r:id="rId5" w:type="default"/>
          <w:footerReference r:id="rId6" w:type="default"/>
          <w:type w:val="continuous"/>
          <w:pgSz w:w="11910" w:h="16840"/>
          <w:pgMar w:top="1760" w:right="900" w:bottom="1100" w:left="1020" w:header="852" w:footer="910" w:gutter="0"/>
          <w:pgNumType w:start="1"/>
          <w:cols w:space="720" w:num="1"/>
        </w:sectPr>
      </w:pPr>
    </w:p>
    <w:p>
      <w:pPr>
        <w:pStyle w:val="3"/>
        <w:spacing w:before="14"/>
        <w:ind w:left="0"/>
      </w:pPr>
    </w:p>
    <w:p>
      <w:pPr>
        <w:pStyle w:val="3"/>
        <w:spacing w:before="68"/>
      </w:pPr>
      <w:r>
        <w:t>提升领导决策力，发现价值与套利机会，推动企业转型升级和跨越发展；</w:t>
      </w:r>
    </w:p>
    <w:p>
      <w:pPr>
        <w:pStyle w:val="8"/>
        <w:numPr>
          <w:ilvl w:val="0"/>
          <w:numId w:val="2"/>
        </w:numPr>
        <w:tabs>
          <w:tab w:val="left" w:pos="848"/>
        </w:tabs>
        <w:spacing w:before="145" w:after="0" w:line="211" w:lineRule="auto"/>
        <w:ind w:left="847" w:right="256" w:hanging="420"/>
        <w:jc w:val="left"/>
        <w:rPr>
          <w:sz w:val="24"/>
        </w:rPr>
      </w:pPr>
      <w:r>
        <w:rPr>
          <w:spacing w:val="-1"/>
          <w:sz w:val="24"/>
        </w:rPr>
        <w:t>掌握全球金融领域新动向，整合资源，创新价值，再造利润，制定传承世代的财富管</w:t>
      </w:r>
      <w:r>
        <w:rPr>
          <w:sz w:val="24"/>
        </w:rPr>
        <w:t>理规划和构架；</w:t>
      </w:r>
    </w:p>
    <w:p>
      <w:pPr>
        <w:pStyle w:val="8"/>
        <w:numPr>
          <w:ilvl w:val="0"/>
          <w:numId w:val="2"/>
        </w:numPr>
        <w:tabs>
          <w:tab w:val="left" w:pos="848"/>
        </w:tabs>
        <w:spacing w:before="130" w:after="0" w:line="240" w:lineRule="auto"/>
        <w:ind w:left="847" w:right="0" w:hanging="420"/>
        <w:jc w:val="left"/>
        <w:rPr>
          <w:sz w:val="24"/>
        </w:rPr>
      </w:pPr>
      <w:r>
        <w:rPr>
          <w:sz w:val="24"/>
        </w:rPr>
        <w:t>启迪企业决策者的心智，培养领导者的专业思维、人文素养和领袖气质。</w:t>
      </w:r>
    </w:p>
    <w:p>
      <w:pPr>
        <w:pStyle w:val="2"/>
        <w:spacing w:before="137"/>
      </w:pPr>
      <w:r>
        <w:rPr>
          <w:w w:val="95"/>
        </w:rPr>
        <w:t>【课程价值】</w:t>
      </w:r>
    </w:p>
    <w:p>
      <w:pPr>
        <w:pStyle w:val="3"/>
        <w:spacing w:before="166" w:line="213" w:lineRule="auto"/>
        <w:ind w:right="268"/>
        <w:jc w:val="both"/>
      </w:pPr>
      <w:r>
        <w:rPr>
          <w:b/>
        </w:rPr>
        <w:t>国际视野、前沿课堂：</w:t>
      </w:r>
      <w:r>
        <w:rPr>
          <w:spacing w:val="-1"/>
        </w:rPr>
        <w:t xml:space="preserve">汇聚国内外最优秀的经济学家、金融学专家、企业家，从国际视野， </w:t>
      </w:r>
      <w:r>
        <w:t>实时分析国际（华尔街、以色列、欧洲等）</w:t>
      </w:r>
      <w:r>
        <w:rPr>
          <w:spacing w:val="-1"/>
        </w:rPr>
        <w:t>及国内经济金融政策形势、汲取前沿实用管理理念，掌握企业发展命脉。同时融汇东西方文化，贯通人文、商道，实现未来金融家、投资家</w:t>
      </w:r>
      <w:r>
        <w:t>的自我超越。</w:t>
      </w:r>
    </w:p>
    <w:p>
      <w:pPr>
        <w:pStyle w:val="3"/>
        <w:spacing w:before="151" w:line="213" w:lineRule="auto"/>
        <w:ind w:right="110"/>
      </w:pPr>
      <w:r>
        <w:rPr>
          <w:b/>
          <w:spacing w:val="-8"/>
        </w:rPr>
        <w:t>投资实战、案例解析：</w:t>
      </w:r>
      <w:r>
        <w:rPr>
          <w:spacing w:val="-4"/>
        </w:rPr>
        <w:t xml:space="preserve">分享来自全球最新的投资理念、富有成效的技术分析和投资实战经验， </w:t>
      </w:r>
      <w:r>
        <w:t>拓展商业视野，颠覆的投资理念与思维方式，有效地进行系统更新，重塑投资理念与体系。给学员最实用金融规划、投资模式设计、及投融资管理的有效方法，让学员能够在金融与投资实践中加以有效的运用。</w:t>
      </w:r>
    </w:p>
    <w:p>
      <w:pPr>
        <w:pStyle w:val="3"/>
        <w:spacing w:before="154" w:line="213" w:lineRule="auto"/>
        <w:ind w:right="268"/>
        <w:jc w:val="both"/>
      </w:pPr>
      <w:r>
        <w:rPr>
          <w:b/>
        </w:rPr>
        <w:t>圈层交流、校友联谊：</w:t>
      </w:r>
      <w:r>
        <w:t>经济学院多年来吸引了万余名来自世界各地的优秀企业家，定期组织各类高层次学习交流活动，结业的学员将纳入北京大学和北京大学经济学院校友会，为同学们打造一个高质量，高层次的学习交流圈。增进学员交流、提升个人及企业竞争力。为共同合作发展创造合作机会，实现价值共赢，交往最具价值的朋友、成就最具价值的事业。</w:t>
      </w:r>
    </w:p>
    <w:p>
      <w:pPr>
        <w:pStyle w:val="2"/>
      </w:pPr>
      <w:r>
        <w:t>【招生对象】</w:t>
      </w:r>
    </w:p>
    <w:p>
      <w:pPr>
        <w:pStyle w:val="3"/>
        <w:spacing w:before="166" w:line="213" w:lineRule="auto"/>
        <w:ind w:right="271" w:firstLine="480"/>
        <w:jc w:val="both"/>
      </w:pPr>
      <w:r>
        <w:t>民营企业投资者、管理者（包括但不限于：企业家、创新创业者、天使投资人、私募基金经理等带有专业背景的投资者、希望实现财务保值和风险规避的高净值人群、对财务投资管理感兴趣的人士、自由投资者）</w:t>
      </w:r>
    </w:p>
    <w:p>
      <w:pPr>
        <w:spacing w:before="149"/>
        <w:ind w:left="112" w:right="0" w:firstLine="0"/>
        <w:jc w:val="left"/>
        <w:rPr>
          <w:rFonts w:hint="eastAsia" w:ascii="宋体" w:eastAsia="宋体"/>
          <w:sz w:val="24"/>
        </w:rPr>
      </w:pPr>
      <w:r>
        <w:rPr>
          <w:rFonts w:hint="eastAsia" w:ascii="宋体" w:eastAsia="宋体"/>
          <w:sz w:val="24"/>
        </w:rPr>
        <w:t>【</w:t>
      </w:r>
      <w:r>
        <w:rPr>
          <w:rFonts w:hint="eastAsia" w:ascii="宋体" w:eastAsia="宋体"/>
          <w:b/>
          <w:sz w:val="24"/>
        </w:rPr>
        <w:t>服务管理</w:t>
      </w:r>
      <w:r>
        <w:rPr>
          <w:rFonts w:hint="eastAsia" w:ascii="宋体" w:eastAsia="宋体"/>
          <w:sz w:val="24"/>
        </w:rPr>
        <w:t>】</w:t>
      </w:r>
    </w:p>
    <w:p>
      <w:pPr>
        <w:pStyle w:val="3"/>
        <w:spacing w:before="166" w:line="213" w:lineRule="auto"/>
        <w:ind w:right="271" w:firstLine="480"/>
        <w:jc w:val="both"/>
      </w:pPr>
      <w:r>
        <w:t>由经验丰富的班主任专职管理，确保良好的教学质量及教学环境。班主任组织选举班委会，组织学员听取专家讲座、参与专业研讨、参加丰富多彩的学生活动，使您的学习经历更加充实。</w:t>
      </w:r>
    </w:p>
    <w:p>
      <w:pPr>
        <w:pStyle w:val="2"/>
      </w:pPr>
      <w:r>
        <w:t>【课程安排】</w:t>
      </w:r>
    </w:p>
    <w:p>
      <w:pPr>
        <w:pStyle w:val="3"/>
        <w:spacing w:before="136"/>
      </w:pPr>
      <w:r>
        <w:t>拟安排以下主要课程。具体授课以实际安排为准。</w:t>
      </w:r>
    </w:p>
    <w:p>
      <w:pPr>
        <w:pStyle w:val="3"/>
        <w:spacing w:before="5"/>
        <w:ind w:left="0"/>
        <w:rPr>
          <w:sz w:val="8"/>
        </w:rPr>
      </w:pPr>
    </w:p>
    <w:tbl>
      <w:tblPr>
        <w:tblStyle w:val="4"/>
        <w:tblW w:w="0" w:type="auto"/>
        <w:tblInd w:w="7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34"/>
        <w:gridCol w:w="43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2" w:hRule="atLeast"/>
        </w:trPr>
        <w:tc>
          <w:tcPr>
            <w:tcW w:w="4034" w:type="dxa"/>
          </w:tcPr>
          <w:p>
            <w:pPr>
              <w:pStyle w:val="9"/>
              <w:spacing w:before="152"/>
              <w:ind w:left="68"/>
              <w:rPr>
                <w:b/>
                <w:sz w:val="21"/>
              </w:rPr>
            </w:pPr>
            <w:r>
              <w:rPr>
                <w:b/>
                <w:sz w:val="21"/>
              </w:rPr>
              <w:t>模块一：宏观形势与热点问题分析</w:t>
            </w:r>
          </w:p>
        </w:tc>
        <w:tc>
          <w:tcPr>
            <w:tcW w:w="4388" w:type="dxa"/>
            <w:tcBorders>
              <w:right w:val="double" w:color="000000" w:sz="0" w:space="0"/>
            </w:tcBorders>
          </w:tcPr>
          <w:p>
            <w:pPr>
              <w:pStyle w:val="9"/>
              <w:spacing w:before="152"/>
              <w:ind w:left="68"/>
              <w:rPr>
                <w:b/>
                <w:sz w:val="21"/>
              </w:rPr>
            </w:pPr>
            <w:r>
              <w:rPr>
                <w:b/>
                <w:sz w:val="21"/>
              </w:rPr>
              <w:t>模块二：金融与投资基础</w:t>
            </w:r>
          </w:p>
        </w:tc>
      </w:tr>
    </w:tbl>
    <w:p>
      <w:pPr>
        <w:spacing w:after="0"/>
        <w:rPr>
          <w:sz w:val="21"/>
        </w:rPr>
        <w:sectPr>
          <w:pgSz w:w="11910" w:h="16840"/>
          <w:pgMar w:top="1760" w:right="900" w:bottom="1180" w:left="1020" w:header="852" w:footer="910" w:gutter="0"/>
          <w:cols w:space="720" w:num="1"/>
        </w:sectPr>
      </w:pPr>
    </w:p>
    <w:p>
      <w:pPr>
        <w:pStyle w:val="3"/>
        <w:ind w:left="0"/>
        <w:rPr>
          <w:rFonts w:ascii="Times New Roman"/>
          <w:sz w:val="20"/>
        </w:rPr>
      </w:pPr>
    </w:p>
    <w:p>
      <w:pPr>
        <w:pStyle w:val="3"/>
        <w:spacing w:before="4"/>
        <w:ind w:left="0"/>
        <w:rPr>
          <w:rFonts w:ascii="Times New Roman"/>
          <w:sz w:val="23"/>
        </w:rPr>
      </w:pPr>
    </w:p>
    <w:tbl>
      <w:tblPr>
        <w:tblStyle w:val="4"/>
        <w:tblW w:w="0" w:type="auto"/>
        <w:tblInd w:w="7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29"/>
        <w:gridCol w:w="439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029" w:type="dxa"/>
            <w:tcBorders>
              <w:bottom w:val="nil"/>
              <w:right w:val="single" w:color="000000" w:sz="18" w:space="0"/>
            </w:tcBorders>
          </w:tcPr>
          <w:p>
            <w:pPr>
              <w:pStyle w:val="9"/>
              <w:spacing w:before="81"/>
              <w:rPr>
                <w:sz w:val="21"/>
              </w:rPr>
            </w:pPr>
            <w:r>
              <w:rPr>
                <w:sz w:val="21"/>
              </w:rPr>
              <w:t>十九大与现代化经济体系和＂一带一路＂</w:t>
            </w:r>
          </w:p>
        </w:tc>
        <w:tc>
          <w:tcPr>
            <w:tcW w:w="4397" w:type="dxa"/>
            <w:tcBorders>
              <w:left w:val="single" w:color="000000" w:sz="18" w:space="0"/>
              <w:bottom w:val="nil"/>
              <w:right w:val="double" w:color="000000" w:sz="0" w:space="0"/>
            </w:tcBorders>
          </w:tcPr>
          <w:p>
            <w:pPr>
              <w:pStyle w:val="9"/>
              <w:spacing w:before="81"/>
              <w:ind w:left="66"/>
              <w:rPr>
                <w:sz w:val="21"/>
              </w:rPr>
            </w:pPr>
            <w:r>
              <w:rPr>
                <w:sz w:val="21"/>
              </w:rPr>
              <w:t>汇率决定理论与人民币汇率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right w:val="single" w:color="000000" w:sz="18" w:space="0"/>
            </w:tcBorders>
          </w:tcPr>
          <w:p>
            <w:pPr>
              <w:pStyle w:val="9"/>
              <w:rPr>
                <w:sz w:val="21"/>
              </w:rPr>
            </w:pPr>
            <w:r>
              <w:rPr>
                <w:sz w:val="21"/>
              </w:rPr>
              <w:t>倡议</w:t>
            </w:r>
          </w:p>
        </w:tc>
        <w:tc>
          <w:tcPr>
            <w:tcW w:w="4397" w:type="dxa"/>
            <w:tcBorders>
              <w:top w:val="nil"/>
              <w:left w:val="single" w:color="000000" w:sz="18" w:space="0"/>
              <w:bottom w:val="nil"/>
              <w:right w:val="double" w:color="000000" w:sz="0" w:space="0"/>
            </w:tcBorders>
          </w:tcPr>
          <w:p>
            <w:pPr>
              <w:pStyle w:val="9"/>
              <w:ind w:left="66"/>
              <w:rPr>
                <w:sz w:val="21"/>
              </w:rPr>
            </w:pPr>
            <w:r>
              <w:rPr>
                <w:sz w:val="21"/>
              </w:rPr>
              <w:t>历史上的金融与金融家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right w:val="single" w:color="000000" w:sz="18" w:space="0"/>
            </w:tcBorders>
          </w:tcPr>
          <w:p>
            <w:pPr>
              <w:pStyle w:val="9"/>
              <w:rPr>
                <w:sz w:val="21"/>
              </w:rPr>
            </w:pPr>
            <w:r>
              <w:rPr>
                <w:sz w:val="21"/>
              </w:rPr>
              <w:t>供给侧改革下的消费升级和股市、楼市</w:t>
            </w:r>
          </w:p>
        </w:tc>
        <w:tc>
          <w:tcPr>
            <w:tcW w:w="4397" w:type="dxa"/>
            <w:tcBorders>
              <w:top w:val="nil"/>
              <w:left w:val="single" w:color="000000" w:sz="18" w:space="0"/>
              <w:bottom w:val="nil"/>
              <w:right w:val="double" w:color="000000" w:sz="0" w:space="0"/>
            </w:tcBorders>
          </w:tcPr>
          <w:p>
            <w:pPr>
              <w:pStyle w:val="9"/>
              <w:ind w:left="66"/>
              <w:rPr>
                <w:sz w:val="21"/>
              </w:rPr>
            </w:pPr>
            <w:r>
              <w:rPr>
                <w:sz w:val="21"/>
              </w:rPr>
              <w:t>金融形势与国际货币体系分析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right w:val="single" w:color="000000" w:sz="18" w:space="0"/>
            </w:tcBorders>
          </w:tcPr>
          <w:p>
            <w:pPr>
              <w:pStyle w:val="9"/>
              <w:rPr>
                <w:sz w:val="21"/>
              </w:rPr>
            </w:pPr>
            <w:r>
              <w:rPr>
                <w:sz w:val="21"/>
              </w:rPr>
              <w:t>国际经济与企业国际化发展</w:t>
            </w:r>
          </w:p>
        </w:tc>
        <w:tc>
          <w:tcPr>
            <w:tcW w:w="4397" w:type="dxa"/>
            <w:tcBorders>
              <w:top w:val="nil"/>
              <w:left w:val="single" w:color="000000" w:sz="18" w:space="0"/>
              <w:bottom w:val="nil"/>
              <w:right w:val="double" w:color="000000" w:sz="0" w:space="0"/>
            </w:tcBorders>
          </w:tcPr>
          <w:p>
            <w:pPr>
              <w:pStyle w:val="9"/>
              <w:ind w:left="66"/>
              <w:rPr>
                <w:sz w:val="21"/>
              </w:rPr>
            </w:pPr>
            <w:r>
              <w:rPr>
                <w:sz w:val="21"/>
              </w:rPr>
              <w:t>货币金融学基础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right w:val="single" w:color="000000" w:sz="18" w:space="0"/>
            </w:tcBorders>
          </w:tcPr>
          <w:p>
            <w:pPr>
              <w:pStyle w:val="9"/>
              <w:rPr>
                <w:sz w:val="21"/>
              </w:rPr>
            </w:pPr>
            <w:r>
              <w:rPr>
                <w:sz w:val="21"/>
              </w:rPr>
              <w:t>中美贸易战的影响分析</w:t>
            </w:r>
          </w:p>
        </w:tc>
        <w:tc>
          <w:tcPr>
            <w:tcW w:w="4397" w:type="dxa"/>
            <w:tcBorders>
              <w:top w:val="nil"/>
              <w:left w:val="single" w:color="000000" w:sz="18" w:space="0"/>
              <w:bottom w:val="nil"/>
              <w:right w:val="double" w:color="000000" w:sz="0" w:space="0"/>
            </w:tcBorders>
          </w:tcPr>
          <w:p>
            <w:pPr>
              <w:pStyle w:val="9"/>
              <w:ind w:left="66"/>
              <w:rPr>
                <w:sz w:val="21"/>
              </w:rPr>
            </w:pPr>
            <w:r>
              <w:rPr>
                <w:sz w:val="21"/>
              </w:rPr>
              <w:t>金融投资导论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15" w:hRule="atLeast"/>
        </w:trPr>
        <w:tc>
          <w:tcPr>
            <w:tcW w:w="4029" w:type="dxa"/>
            <w:tcBorders>
              <w:top w:val="nil"/>
              <w:right w:val="single" w:color="000000" w:sz="18" w:space="0"/>
            </w:tcBorders>
          </w:tcPr>
          <w:p>
            <w:pPr>
              <w:pStyle w:val="9"/>
              <w:rPr>
                <w:sz w:val="21"/>
              </w:rPr>
            </w:pPr>
            <w:r>
              <w:rPr>
                <w:sz w:val="21"/>
              </w:rPr>
              <w:t>习式改革解读</w:t>
            </w:r>
          </w:p>
        </w:tc>
        <w:tc>
          <w:tcPr>
            <w:tcW w:w="4397" w:type="dxa"/>
            <w:tcBorders>
              <w:top w:val="nil"/>
              <w:left w:val="single" w:color="000000" w:sz="18" w:space="0"/>
              <w:right w:val="double" w:color="000000" w:sz="0" w:space="0"/>
            </w:tcBorders>
          </w:tcPr>
          <w:p>
            <w:pPr>
              <w:pStyle w:val="9"/>
              <w:ind w:left="66"/>
              <w:rPr>
                <w:sz w:val="21"/>
              </w:rPr>
            </w:pPr>
            <w:r>
              <w:rPr>
                <w:sz w:val="21"/>
              </w:rPr>
              <w:t>金融衍生产品的发展趋势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4029" w:type="dxa"/>
          </w:tcPr>
          <w:p>
            <w:pPr>
              <w:pStyle w:val="9"/>
              <w:spacing w:before="152"/>
              <w:rPr>
                <w:b/>
                <w:sz w:val="21"/>
              </w:rPr>
            </w:pPr>
            <w:r>
              <w:rPr>
                <w:b/>
                <w:sz w:val="21"/>
              </w:rPr>
              <w:t>模块三：多层次资本市场分析</w:t>
            </w:r>
          </w:p>
        </w:tc>
        <w:tc>
          <w:tcPr>
            <w:tcW w:w="4397" w:type="dxa"/>
            <w:tcBorders>
              <w:right w:val="double" w:color="000000" w:sz="0" w:space="0"/>
            </w:tcBorders>
          </w:tcPr>
          <w:p>
            <w:pPr>
              <w:pStyle w:val="9"/>
              <w:spacing w:before="152"/>
              <w:ind w:left="78"/>
              <w:rPr>
                <w:b/>
                <w:sz w:val="21"/>
              </w:rPr>
            </w:pPr>
            <w:r>
              <w:rPr>
                <w:b/>
                <w:sz w:val="21"/>
              </w:rPr>
              <w:t>模块四：投资决策系统及风险管理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2" w:hRule="atLeast"/>
        </w:trPr>
        <w:tc>
          <w:tcPr>
            <w:tcW w:w="4029" w:type="dxa"/>
            <w:tcBorders>
              <w:bottom w:val="nil"/>
            </w:tcBorders>
          </w:tcPr>
          <w:p>
            <w:pPr>
              <w:pStyle w:val="9"/>
              <w:spacing w:before="81"/>
              <w:rPr>
                <w:sz w:val="21"/>
              </w:rPr>
            </w:pPr>
            <w:r>
              <w:rPr>
                <w:sz w:val="21"/>
              </w:rPr>
              <w:t>数字技术支持下的现代经济体系</w:t>
            </w:r>
          </w:p>
        </w:tc>
        <w:tc>
          <w:tcPr>
            <w:tcW w:w="4397" w:type="dxa"/>
            <w:tcBorders>
              <w:bottom w:val="nil"/>
              <w:right w:val="double" w:color="000000" w:sz="0" w:space="0"/>
            </w:tcBorders>
          </w:tcPr>
          <w:p>
            <w:pPr>
              <w:pStyle w:val="9"/>
              <w:spacing w:before="81"/>
              <w:ind w:left="78"/>
              <w:rPr>
                <w:sz w:val="21"/>
              </w:rPr>
            </w:pPr>
            <w:r>
              <w:rPr>
                <w:sz w:val="21"/>
              </w:rPr>
              <w:t>金融投资风险管理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创业融资和创业投资基金及资本市场</w:t>
            </w:r>
          </w:p>
        </w:tc>
        <w:tc>
          <w:tcPr>
            <w:tcW w:w="4397" w:type="dxa"/>
            <w:tcBorders>
              <w:top w:val="nil"/>
              <w:bottom w:val="nil"/>
              <w:right w:val="double" w:color="000000" w:sz="0" w:space="0"/>
            </w:tcBorders>
          </w:tcPr>
          <w:p>
            <w:pPr>
              <w:pStyle w:val="9"/>
              <w:ind w:left="78"/>
              <w:rPr>
                <w:sz w:val="21"/>
              </w:rPr>
            </w:pPr>
            <w:r>
              <w:rPr>
                <w:sz w:val="21"/>
              </w:rPr>
              <w:t>企业吸引投资的亮点打造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财富的下一个风口</w:t>
            </w:r>
          </w:p>
        </w:tc>
        <w:tc>
          <w:tcPr>
            <w:tcW w:w="4397" w:type="dxa"/>
            <w:tcBorders>
              <w:top w:val="nil"/>
              <w:bottom w:val="nil"/>
              <w:right w:val="double" w:color="000000" w:sz="0" w:space="0"/>
            </w:tcBorders>
          </w:tcPr>
          <w:p>
            <w:pPr>
              <w:pStyle w:val="9"/>
              <w:ind w:left="78"/>
              <w:rPr>
                <w:sz w:val="21"/>
              </w:rPr>
            </w:pPr>
            <w:r>
              <w:rPr>
                <w:sz w:val="21"/>
              </w:rPr>
              <w:t>投资人和企业家关系处理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区块链及其投资分析</w:t>
            </w:r>
          </w:p>
        </w:tc>
        <w:tc>
          <w:tcPr>
            <w:tcW w:w="4397" w:type="dxa"/>
            <w:tcBorders>
              <w:top w:val="nil"/>
              <w:bottom w:val="nil"/>
              <w:right w:val="double" w:color="000000" w:sz="0" w:space="0"/>
            </w:tcBorders>
          </w:tcPr>
          <w:p>
            <w:pPr>
              <w:pStyle w:val="9"/>
              <w:ind w:left="78"/>
              <w:rPr>
                <w:sz w:val="21"/>
              </w:rPr>
            </w:pPr>
            <w:r>
              <w:rPr>
                <w:sz w:val="21"/>
              </w:rPr>
              <w:t>投资分析中的最新思想与发展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主板市场的变革与创新</w:t>
            </w:r>
          </w:p>
        </w:tc>
        <w:tc>
          <w:tcPr>
            <w:tcW w:w="4397" w:type="dxa"/>
            <w:tcBorders>
              <w:top w:val="nil"/>
              <w:bottom w:val="nil"/>
              <w:right w:val="double" w:color="000000" w:sz="0" w:space="0"/>
            </w:tcBorders>
          </w:tcPr>
          <w:p>
            <w:pPr>
              <w:pStyle w:val="9"/>
              <w:ind w:left="78"/>
              <w:rPr>
                <w:sz w:val="21"/>
              </w:rPr>
            </w:pPr>
            <w:r>
              <w:rPr>
                <w:sz w:val="21"/>
              </w:rPr>
              <w:t>投资选择方法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创业板市场的功能与定位</w:t>
            </w:r>
          </w:p>
        </w:tc>
        <w:tc>
          <w:tcPr>
            <w:tcW w:w="4397" w:type="dxa"/>
            <w:tcBorders>
              <w:top w:val="nil"/>
              <w:bottom w:val="nil"/>
              <w:right w:val="double" w:color="000000" w:sz="0" w:space="0"/>
            </w:tcBorders>
          </w:tcPr>
          <w:p>
            <w:pPr>
              <w:pStyle w:val="9"/>
              <w:ind w:left="78"/>
              <w:rPr>
                <w:sz w:val="21"/>
              </w:rPr>
            </w:pPr>
            <w:r>
              <w:rPr>
                <w:sz w:val="21"/>
              </w:rPr>
              <w:t>投资项目现金流估算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新三板市场政策分析与解读</w:t>
            </w:r>
          </w:p>
        </w:tc>
        <w:tc>
          <w:tcPr>
            <w:tcW w:w="4397" w:type="dxa"/>
            <w:tcBorders>
              <w:top w:val="nil"/>
              <w:bottom w:val="nil"/>
              <w:right w:val="double" w:color="000000" w:sz="0" w:space="0"/>
            </w:tcBorders>
          </w:tcPr>
          <w:p>
            <w:pPr>
              <w:pStyle w:val="9"/>
              <w:ind w:left="78"/>
              <w:rPr>
                <w:sz w:val="21"/>
              </w:rPr>
            </w:pPr>
            <w:r>
              <w:rPr>
                <w:sz w:val="21"/>
              </w:rPr>
              <w:t>投资战略与投资回报分析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中国资本市场现状和挑战</w:t>
            </w:r>
          </w:p>
        </w:tc>
        <w:tc>
          <w:tcPr>
            <w:tcW w:w="4397" w:type="dxa"/>
            <w:tcBorders>
              <w:top w:val="nil"/>
              <w:bottom w:val="nil"/>
              <w:right w:val="double" w:color="000000" w:sz="0" w:space="0"/>
            </w:tcBorders>
          </w:tcPr>
          <w:p>
            <w:pPr>
              <w:pStyle w:val="9"/>
              <w:ind w:left="78"/>
              <w:rPr>
                <w:sz w:val="21"/>
              </w:rPr>
            </w:pPr>
            <w:r>
              <w:rPr>
                <w:sz w:val="21"/>
              </w:rPr>
              <w:t>投资决策流程管理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spacing w:before="0"/>
              <w:ind w:left="0"/>
              <w:rPr>
                <w:rFonts w:ascii="Times New Roman"/>
                <w:sz w:val="20"/>
              </w:rPr>
            </w:pPr>
          </w:p>
        </w:tc>
        <w:tc>
          <w:tcPr>
            <w:tcW w:w="4397" w:type="dxa"/>
            <w:tcBorders>
              <w:top w:val="nil"/>
              <w:bottom w:val="nil"/>
              <w:right w:val="double" w:color="000000" w:sz="0" w:space="0"/>
            </w:tcBorders>
          </w:tcPr>
          <w:p>
            <w:pPr>
              <w:pStyle w:val="9"/>
              <w:ind w:left="78"/>
              <w:rPr>
                <w:sz w:val="21"/>
              </w:rPr>
            </w:pPr>
            <w:r>
              <w:rPr>
                <w:sz w:val="21"/>
              </w:rPr>
              <w:t>投资分析与风险管理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029" w:type="dxa"/>
            <w:tcBorders>
              <w:top w:val="nil"/>
            </w:tcBorders>
          </w:tcPr>
          <w:p>
            <w:pPr>
              <w:pStyle w:val="9"/>
              <w:spacing w:before="0"/>
              <w:ind w:left="0"/>
              <w:rPr>
                <w:rFonts w:ascii="Times New Roman"/>
                <w:sz w:val="20"/>
              </w:rPr>
            </w:pPr>
          </w:p>
        </w:tc>
        <w:tc>
          <w:tcPr>
            <w:tcW w:w="4397" w:type="dxa"/>
            <w:tcBorders>
              <w:top w:val="nil"/>
              <w:right w:val="double" w:color="000000" w:sz="0" w:space="0"/>
            </w:tcBorders>
          </w:tcPr>
          <w:p>
            <w:pPr>
              <w:pStyle w:val="9"/>
              <w:ind w:left="78"/>
              <w:rPr>
                <w:sz w:val="21"/>
              </w:rPr>
            </w:pPr>
            <w:r>
              <w:rPr>
                <w:sz w:val="21"/>
              </w:rPr>
              <w:t>VC/PE 金融经济价值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4029" w:type="dxa"/>
          </w:tcPr>
          <w:p>
            <w:pPr>
              <w:pStyle w:val="9"/>
              <w:spacing w:before="152"/>
              <w:rPr>
                <w:b/>
                <w:sz w:val="21"/>
              </w:rPr>
            </w:pPr>
            <w:r>
              <w:rPr>
                <w:b/>
                <w:sz w:val="21"/>
              </w:rPr>
              <w:t>模块五：私募股权投资基金的募集与管理</w:t>
            </w:r>
          </w:p>
        </w:tc>
        <w:tc>
          <w:tcPr>
            <w:tcW w:w="4397" w:type="dxa"/>
            <w:tcBorders>
              <w:right w:val="double" w:color="000000" w:sz="0" w:space="0"/>
            </w:tcBorders>
          </w:tcPr>
          <w:p>
            <w:pPr>
              <w:pStyle w:val="9"/>
              <w:spacing w:before="152"/>
              <w:ind w:left="78"/>
              <w:rPr>
                <w:b/>
                <w:sz w:val="21"/>
              </w:rPr>
            </w:pPr>
            <w:r>
              <w:rPr>
                <w:b/>
                <w:sz w:val="21"/>
              </w:rPr>
              <w:t>模块六：私募基金的投资与退出渠道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2" w:hRule="atLeast"/>
        </w:trPr>
        <w:tc>
          <w:tcPr>
            <w:tcW w:w="4029" w:type="dxa"/>
            <w:tcBorders>
              <w:bottom w:val="nil"/>
            </w:tcBorders>
          </w:tcPr>
          <w:p>
            <w:pPr>
              <w:pStyle w:val="9"/>
              <w:spacing w:before="82"/>
              <w:rPr>
                <w:sz w:val="21"/>
              </w:rPr>
            </w:pPr>
            <w:r>
              <w:rPr>
                <w:sz w:val="21"/>
              </w:rPr>
              <w:t>资产相对论、PE 的文化与实务</w:t>
            </w:r>
          </w:p>
        </w:tc>
        <w:tc>
          <w:tcPr>
            <w:tcW w:w="4397" w:type="dxa"/>
            <w:tcBorders>
              <w:bottom w:val="nil"/>
              <w:right w:val="double" w:color="000000" w:sz="0" w:space="0"/>
            </w:tcBorders>
          </w:tcPr>
          <w:p>
            <w:pPr>
              <w:pStyle w:val="9"/>
              <w:spacing w:before="82"/>
              <w:ind w:left="78"/>
              <w:rPr>
                <w:sz w:val="21"/>
              </w:rPr>
            </w:pPr>
            <w:r>
              <w:rPr>
                <w:sz w:val="21"/>
              </w:rPr>
              <w:t>退出的价格和价值最大化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私募股权投资基金运作实务</w:t>
            </w:r>
          </w:p>
        </w:tc>
        <w:tc>
          <w:tcPr>
            <w:tcW w:w="4397" w:type="dxa"/>
            <w:tcBorders>
              <w:top w:val="nil"/>
              <w:bottom w:val="nil"/>
              <w:right w:val="double" w:color="000000" w:sz="0" w:space="0"/>
            </w:tcBorders>
          </w:tcPr>
          <w:p>
            <w:pPr>
              <w:pStyle w:val="9"/>
              <w:ind w:left="78"/>
              <w:rPr>
                <w:sz w:val="21"/>
              </w:rPr>
            </w:pPr>
            <w:r>
              <w:rPr>
                <w:sz w:val="21"/>
              </w:rPr>
              <w:t>多种退出渠道对比分析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pacing w:val="-8"/>
                <w:sz w:val="21"/>
              </w:rPr>
              <w:t>私募股权投资基金的募集、影响因素及应注</w:t>
            </w:r>
          </w:p>
        </w:tc>
        <w:tc>
          <w:tcPr>
            <w:tcW w:w="4397" w:type="dxa"/>
            <w:tcBorders>
              <w:top w:val="nil"/>
              <w:bottom w:val="nil"/>
              <w:right w:val="double" w:color="000000" w:sz="0" w:space="0"/>
            </w:tcBorders>
          </w:tcPr>
          <w:p>
            <w:pPr>
              <w:pStyle w:val="9"/>
              <w:ind w:left="78"/>
              <w:rPr>
                <w:sz w:val="21"/>
              </w:rPr>
            </w:pPr>
            <w:r>
              <w:rPr>
                <w:sz w:val="21"/>
              </w:rPr>
              <w:t>借壳上市与并购重组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意的问题</w:t>
            </w:r>
          </w:p>
        </w:tc>
        <w:tc>
          <w:tcPr>
            <w:tcW w:w="4397" w:type="dxa"/>
            <w:tcBorders>
              <w:top w:val="nil"/>
              <w:bottom w:val="nil"/>
              <w:right w:val="double" w:color="000000" w:sz="0" w:space="0"/>
            </w:tcBorders>
          </w:tcPr>
          <w:p>
            <w:pPr>
              <w:pStyle w:val="9"/>
              <w:ind w:left="78"/>
              <w:rPr>
                <w:sz w:val="21"/>
              </w:rPr>
            </w:pPr>
            <w:r>
              <w:rPr>
                <w:sz w:val="21"/>
              </w:rPr>
              <w:t>公司回购及其法律规定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私募股权基金的筹建、设立与管理</w:t>
            </w:r>
          </w:p>
        </w:tc>
        <w:tc>
          <w:tcPr>
            <w:tcW w:w="4397" w:type="dxa"/>
            <w:tcBorders>
              <w:top w:val="nil"/>
              <w:bottom w:val="nil"/>
              <w:right w:val="double" w:color="000000" w:sz="0" w:space="0"/>
            </w:tcBorders>
          </w:tcPr>
          <w:p>
            <w:pPr>
              <w:pStyle w:val="9"/>
              <w:ind w:left="78"/>
              <w:rPr>
                <w:sz w:val="21"/>
              </w:rPr>
            </w:pPr>
            <w:r>
              <w:rPr>
                <w:sz w:val="21"/>
              </w:rPr>
              <w:t>私募股权基金的投资模式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被投项目企业的治理架构</w:t>
            </w:r>
          </w:p>
        </w:tc>
        <w:tc>
          <w:tcPr>
            <w:tcW w:w="4397" w:type="dxa"/>
            <w:tcBorders>
              <w:top w:val="nil"/>
              <w:bottom w:val="nil"/>
              <w:right w:val="double" w:color="000000" w:sz="0" w:space="0"/>
            </w:tcBorders>
          </w:tcPr>
          <w:p>
            <w:pPr>
              <w:pStyle w:val="9"/>
              <w:ind w:left="78"/>
              <w:rPr>
                <w:sz w:val="21"/>
              </w:rPr>
            </w:pPr>
            <w:r>
              <w:rPr>
                <w:sz w:val="21"/>
              </w:rPr>
              <w:t>私募股权基金治理模式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被投项目企业商业模式优化</w:t>
            </w:r>
          </w:p>
        </w:tc>
        <w:tc>
          <w:tcPr>
            <w:tcW w:w="4397" w:type="dxa"/>
            <w:tcBorders>
              <w:top w:val="nil"/>
              <w:bottom w:val="nil"/>
              <w:right w:val="double" w:color="000000" w:sz="0" w:space="0"/>
            </w:tcBorders>
          </w:tcPr>
          <w:p>
            <w:pPr>
              <w:pStyle w:val="9"/>
              <w:spacing w:before="0"/>
              <w:ind w:left="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被投项目企业融资后的管理</w:t>
            </w:r>
          </w:p>
        </w:tc>
        <w:tc>
          <w:tcPr>
            <w:tcW w:w="4397" w:type="dxa"/>
            <w:tcBorders>
              <w:top w:val="nil"/>
              <w:bottom w:val="nil"/>
              <w:right w:val="double" w:color="000000" w:sz="0" w:space="0"/>
            </w:tcBorders>
          </w:tcPr>
          <w:p>
            <w:pPr>
              <w:pStyle w:val="9"/>
              <w:spacing w:before="0"/>
              <w:ind w:left="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029" w:type="dxa"/>
            <w:tcBorders>
              <w:top w:val="nil"/>
            </w:tcBorders>
          </w:tcPr>
          <w:p>
            <w:pPr>
              <w:pStyle w:val="9"/>
              <w:rPr>
                <w:sz w:val="21"/>
              </w:rPr>
            </w:pPr>
            <w:r>
              <w:rPr>
                <w:sz w:val="21"/>
              </w:rPr>
              <w:t>被投企业的成长辅导与再融资</w:t>
            </w:r>
          </w:p>
        </w:tc>
        <w:tc>
          <w:tcPr>
            <w:tcW w:w="4397" w:type="dxa"/>
            <w:tcBorders>
              <w:top w:val="nil"/>
              <w:right w:val="double" w:color="000000" w:sz="0" w:space="0"/>
            </w:tcBorders>
          </w:tcPr>
          <w:p>
            <w:pPr>
              <w:pStyle w:val="9"/>
              <w:spacing w:before="0"/>
              <w:ind w:left="0"/>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3" w:hRule="atLeast"/>
        </w:trPr>
        <w:tc>
          <w:tcPr>
            <w:tcW w:w="4029" w:type="dxa"/>
          </w:tcPr>
          <w:p>
            <w:pPr>
              <w:pStyle w:val="9"/>
              <w:spacing w:before="153"/>
              <w:rPr>
                <w:b/>
                <w:sz w:val="21"/>
              </w:rPr>
            </w:pPr>
            <w:r>
              <w:rPr>
                <w:b/>
                <w:sz w:val="21"/>
              </w:rPr>
              <w:t>模块七：企业融资模式与上市策略</w:t>
            </w:r>
          </w:p>
        </w:tc>
        <w:tc>
          <w:tcPr>
            <w:tcW w:w="4397" w:type="dxa"/>
            <w:tcBorders>
              <w:right w:val="double" w:color="000000" w:sz="0" w:space="0"/>
            </w:tcBorders>
          </w:tcPr>
          <w:p>
            <w:pPr>
              <w:pStyle w:val="9"/>
              <w:spacing w:before="153"/>
              <w:ind w:left="78"/>
              <w:rPr>
                <w:b/>
                <w:sz w:val="21"/>
              </w:rPr>
            </w:pPr>
            <w:r>
              <w:rPr>
                <w:b/>
                <w:sz w:val="21"/>
              </w:rPr>
              <w:t>模块八：估值、并购、重组实务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3" w:hRule="atLeast"/>
        </w:trPr>
        <w:tc>
          <w:tcPr>
            <w:tcW w:w="4029" w:type="dxa"/>
            <w:tcBorders>
              <w:bottom w:val="nil"/>
            </w:tcBorders>
          </w:tcPr>
          <w:p>
            <w:pPr>
              <w:pStyle w:val="9"/>
              <w:spacing w:before="82"/>
              <w:rPr>
                <w:sz w:val="21"/>
              </w:rPr>
            </w:pPr>
            <w:r>
              <w:rPr>
                <w:sz w:val="21"/>
              </w:rPr>
              <w:t>新三板挂牌、融资和做市</w:t>
            </w:r>
          </w:p>
        </w:tc>
        <w:tc>
          <w:tcPr>
            <w:tcW w:w="4397" w:type="dxa"/>
            <w:tcBorders>
              <w:bottom w:val="nil"/>
              <w:right w:val="double" w:color="000000" w:sz="0" w:space="0"/>
            </w:tcBorders>
          </w:tcPr>
          <w:p>
            <w:pPr>
              <w:pStyle w:val="9"/>
              <w:spacing w:before="82"/>
              <w:ind w:left="78"/>
              <w:rPr>
                <w:sz w:val="21"/>
              </w:rPr>
            </w:pPr>
            <w:r>
              <w:rPr>
                <w:sz w:val="21"/>
              </w:rPr>
              <w:t>现代公司估值详述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境外上市的策略分析</w:t>
            </w:r>
          </w:p>
        </w:tc>
        <w:tc>
          <w:tcPr>
            <w:tcW w:w="4397" w:type="dxa"/>
            <w:tcBorders>
              <w:top w:val="nil"/>
              <w:bottom w:val="nil"/>
              <w:right w:val="double" w:color="000000" w:sz="0" w:space="0"/>
            </w:tcBorders>
          </w:tcPr>
          <w:p>
            <w:pPr>
              <w:pStyle w:val="9"/>
              <w:ind w:left="78"/>
              <w:rPr>
                <w:sz w:val="21"/>
              </w:rPr>
            </w:pPr>
            <w:r>
              <w:rPr>
                <w:sz w:val="21"/>
              </w:rPr>
              <w:t>相对估值方法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pacing w:val="-7"/>
                <w:sz w:val="21"/>
              </w:rPr>
              <w:t>上市流程的关键阶段：预备期、改制器、辅</w:t>
            </w:r>
          </w:p>
        </w:tc>
        <w:tc>
          <w:tcPr>
            <w:tcW w:w="4397" w:type="dxa"/>
            <w:tcBorders>
              <w:top w:val="nil"/>
              <w:bottom w:val="nil"/>
              <w:right w:val="double" w:color="000000" w:sz="0" w:space="0"/>
            </w:tcBorders>
          </w:tcPr>
          <w:p>
            <w:pPr>
              <w:pStyle w:val="9"/>
              <w:ind w:left="78"/>
              <w:rPr>
                <w:sz w:val="21"/>
              </w:rPr>
            </w:pPr>
            <w:r>
              <w:rPr>
                <w:sz w:val="21"/>
              </w:rPr>
              <w:t>公司财务预测与估值模型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pacing w:val="-10"/>
                <w:sz w:val="21"/>
              </w:rPr>
              <w:t>导期、申请期、挂牌期各关键阶段的相应策</w:t>
            </w:r>
          </w:p>
        </w:tc>
        <w:tc>
          <w:tcPr>
            <w:tcW w:w="4397" w:type="dxa"/>
            <w:tcBorders>
              <w:top w:val="nil"/>
              <w:bottom w:val="nil"/>
              <w:right w:val="double" w:color="000000" w:sz="0" w:space="0"/>
            </w:tcBorders>
          </w:tcPr>
          <w:p>
            <w:pPr>
              <w:pStyle w:val="9"/>
              <w:ind w:left="78"/>
              <w:rPr>
                <w:sz w:val="21"/>
              </w:rPr>
            </w:pPr>
            <w:r>
              <w:rPr>
                <w:sz w:val="21"/>
              </w:rPr>
              <w:t>不同行业估值方法选择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w w:val="99"/>
                <w:sz w:val="21"/>
              </w:rPr>
              <w:t>略</w:t>
            </w:r>
          </w:p>
        </w:tc>
        <w:tc>
          <w:tcPr>
            <w:tcW w:w="4397" w:type="dxa"/>
            <w:tcBorders>
              <w:top w:val="nil"/>
              <w:bottom w:val="nil"/>
              <w:right w:val="double" w:color="000000" w:sz="0" w:space="0"/>
            </w:tcBorders>
          </w:tcPr>
          <w:p>
            <w:pPr>
              <w:pStyle w:val="9"/>
              <w:ind w:left="78"/>
              <w:rPr>
                <w:sz w:val="21"/>
              </w:rPr>
            </w:pPr>
            <w:r>
              <w:rPr>
                <w:sz w:val="21"/>
              </w:rPr>
              <w:t>估值方法的拓展应用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上市改制中的财务问题</w:t>
            </w:r>
          </w:p>
        </w:tc>
        <w:tc>
          <w:tcPr>
            <w:tcW w:w="4397" w:type="dxa"/>
            <w:tcBorders>
              <w:top w:val="nil"/>
              <w:bottom w:val="nil"/>
              <w:right w:val="double" w:color="000000" w:sz="0" w:space="0"/>
            </w:tcBorders>
          </w:tcPr>
          <w:p>
            <w:pPr>
              <w:pStyle w:val="9"/>
              <w:ind w:left="78"/>
              <w:rPr>
                <w:sz w:val="21"/>
              </w:rPr>
            </w:pPr>
            <w:r>
              <w:rPr>
                <w:sz w:val="21"/>
              </w:rPr>
              <w:t>不同类型股东并购重组的动机和行为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29" w:type="dxa"/>
            <w:tcBorders>
              <w:top w:val="nil"/>
              <w:bottom w:val="nil"/>
            </w:tcBorders>
          </w:tcPr>
          <w:p>
            <w:pPr>
              <w:pStyle w:val="9"/>
              <w:rPr>
                <w:sz w:val="21"/>
              </w:rPr>
            </w:pPr>
            <w:r>
              <w:rPr>
                <w:sz w:val="21"/>
              </w:rPr>
              <w:t>上市改制中的法律问题</w:t>
            </w:r>
          </w:p>
        </w:tc>
        <w:tc>
          <w:tcPr>
            <w:tcW w:w="4397" w:type="dxa"/>
            <w:tcBorders>
              <w:top w:val="nil"/>
              <w:bottom w:val="nil"/>
              <w:right w:val="double" w:color="000000" w:sz="0" w:space="0"/>
            </w:tcBorders>
          </w:tcPr>
          <w:p>
            <w:pPr>
              <w:pStyle w:val="9"/>
              <w:ind w:left="78"/>
              <w:rPr>
                <w:sz w:val="21"/>
              </w:rPr>
            </w:pPr>
            <w:r>
              <w:rPr>
                <w:sz w:val="21"/>
              </w:rPr>
              <w:t>公司并购重组交易结构与支付方式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确定募资前的股权定价与权益分配</w:t>
            </w:r>
          </w:p>
        </w:tc>
        <w:tc>
          <w:tcPr>
            <w:tcW w:w="4397" w:type="dxa"/>
            <w:tcBorders>
              <w:top w:val="nil"/>
              <w:bottom w:val="nil"/>
              <w:right w:val="double" w:color="000000" w:sz="0" w:space="0"/>
            </w:tcBorders>
          </w:tcPr>
          <w:p>
            <w:pPr>
              <w:pStyle w:val="9"/>
              <w:ind w:left="78"/>
              <w:rPr>
                <w:sz w:val="21"/>
              </w:rPr>
            </w:pPr>
            <w:r>
              <w:rPr>
                <w:sz w:val="21"/>
              </w:rPr>
              <w:t>公司并购融资手段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29" w:type="dxa"/>
            <w:tcBorders>
              <w:top w:val="nil"/>
              <w:bottom w:val="nil"/>
            </w:tcBorders>
          </w:tcPr>
          <w:p>
            <w:pPr>
              <w:pStyle w:val="9"/>
              <w:rPr>
                <w:sz w:val="21"/>
              </w:rPr>
            </w:pPr>
            <w:r>
              <w:rPr>
                <w:sz w:val="21"/>
              </w:rPr>
              <w:t>如何控制资本筹措的成本</w:t>
            </w:r>
          </w:p>
        </w:tc>
        <w:tc>
          <w:tcPr>
            <w:tcW w:w="4397" w:type="dxa"/>
            <w:tcBorders>
              <w:top w:val="nil"/>
              <w:bottom w:val="nil"/>
              <w:right w:val="double" w:color="000000" w:sz="0" w:space="0"/>
            </w:tcBorders>
          </w:tcPr>
          <w:p>
            <w:pPr>
              <w:pStyle w:val="9"/>
              <w:ind w:left="78"/>
              <w:rPr>
                <w:sz w:val="21"/>
              </w:rPr>
            </w:pPr>
            <w:r>
              <w:rPr>
                <w:sz w:val="21"/>
              </w:rPr>
              <w:t>公司并购重组估值方法和定价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68" w:hRule="atLeast"/>
        </w:trPr>
        <w:tc>
          <w:tcPr>
            <w:tcW w:w="4029" w:type="dxa"/>
            <w:tcBorders>
              <w:top w:val="nil"/>
            </w:tcBorders>
          </w:tcPr>
          <w:p>
            <w:pPr>
              <w:pStyle w:val="9"/>
              <w:rPr>
                <w:sz w:val="21"/>
              </w:rPr>
            </w:pPr>
            <w:r>
              <w:rPr>
                <w:sz w:val="21"/>
              </w:rPr>
              <w:t>改制方案设计主要内容</w:t>
            </w:r>
          </w:p>
        </w:tc>
        <w:tc>
          <w:tcPr>
            <w:tcW w:w="4397" w:type="dxa"/>
            <w:tcBorders>
              <w:top w:val="nil"/>
              <w:right w:val="double" w:color="000000" w:sz="0" w:space="0"/>
            </w:tcBorders>
          </w:tcPr>
          <w:p>
            <w:pPr>
              <w:pStyle w:val="9"/>
              <w:ind w:left="78"/>
              <w:rPr>
                <w:sz w:val="21"/>
              </w:rPr>
            </w:pPr>
            <w:r>
              <w:rPr>
                <w:sz w:val="21"/>
              </w:rPr>
              <w:t>公司并购目标的选择</w:t>
            </w:r>
          </w:p>
        </w:tc>
      </w:tr>
    </w:tbl>
    <w:p>
      <w:pPr>
        <w:spacing w:after="0"/>
        <w:rPr>
          <w:sz w:val="21"/>
        </w:rPr>
        <w:sectPr>
          <w:pgSz w:w="11910" w:h="16840"/>
          <w:pgMar w:top="1760" w:right="900" w:bottom="1100" w:left="1020" w:header="852" w:footer="910" w:gutter="0"/>
          <w:cols w:space="720" w:num="1"/>
        </w:sectPr>
      </w:pPr>
    </w:p>
    <w:p>
      <w:pPr>
        <w:pStyle w:val="3"/>
        <w:ind w:left="0"/>
        <w:rPr>
          <w:rFonts w:ascii="Times New Roman"/>
          <w:sz w:val="20"/>
        </w:rPr>
      </w:pPr>
    </w:p>
    <w:p>
      <w:pPr>
        <w:pStyle w:val="3"/>
        <w:spacing w:before="4"/>
        <w:ind w:left="0"/>
        <w:rPr>
          <w:rFonts w:ascii="Times New Roman"/>
          <w:sz w:val="23"/>
        </w:rPr>
      </w:pPr>
    </w:p>
    <w:tbl>
      <w:tblPr>
        <w:tblStyle w:val="4"/>
        <w:tblW w:w="0" w:type="auto"/>
        <w:tblInd w:w="72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039"/>
        <w:gridCol w:w="438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4" w:hRule="atLeast"/>
        </w:trPr>
        <w:tc>
          <w:tcPr>
            <w:tcW w:w="4039" w:type="dxa"/>
          </w:tcPr>
          <w:p>
            <w:pPr>
              <w:pStyle w:val="9"/>
              <w:spacing w:before="153"/>
              <w:rPr>
                <w:b/>
                <w:sz w:val="21"/>
              </w:rPr>
            </w:pPr>
            <w:r>
              <w:rPr>
                <w:b/>
                <w:sz w:val="21"/>
              </w:rPr>
              <w:t>模块九：私募股权基金投资案例解析</w:t>
            </w:r>
          </w:p>
        </w:tc>
        <w:tc>
          <w:tcPr>
            <w:tcW w:w="4388" w:type="dxa"/>
            <w:tcBorders>
              <w:right w:val="double" w:color="000000" w:sz="0" w:space="0"/>
            </w:tcBorders>
          </w:tcPr>
          <w:p>
            <w:pPr>
              <w:pStyle w:val="9"/>
              <w:spacing w:before="153"/>
              <w:ind w:left="68"/>
              <w:rPr>
                <w:b/>
                <w:sz w:val="21"/>
              </w:rPr>
            </w:pPr>
            <w:r>
              <w:rPr>
                <w:b/>
                <w:sz w:val="21"/>
              </w:rPr>
              <w:t>模块十：股票及期货市场实战基础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2" w:hRule="atLeast"/>
        </w:trPr>
        <w:tc>
          <w:tcPr>
            <w:tcW w:w="4039" w:type="dxa"/>
            <w:tcBorders>
              <w:bottom w:val="nil"/>
            </w:tcBorders>
          </w:tcPr>
          <w:p>
            <w:pPr>
              <w:pStyle w:val="9"/>
              <w:spacing w:before="82"/>
              <w:rPr>
                <w:sz w:val="21"/>
              </w:rPr>
            </w:pPr>
            <w:r>
              <w:rPr>
                <w:sz w:val="21"/>
              </w:rPr>
              <w:t>能源企业与投资案例</w:t>
            </w:r>
          </w:p>
        </w:tc>
        <w:tc>
          <w:tcPr>
            <w:tcW w:w="4388" w:type="dxa"/>
            <w:tcBorders>
              <w:bottom w:val="nil"/>
              <w:right w:val="double" w:color="000000" w:sz="0" w:space="0"/>
            </w:tcBorders>
          </w:tcPr>
          <w:p>
            <w:pPr>
              <w:pStyle w:val="9"/>
              <w:spacing w:before="82"/>
              <w:ind w:left="68"/>
              <w:rPr>
                <w:sz w:val="21"/>
              </w:rPr>
            </w:pPr>
            <w:r>
              <w:rPr>
                <w:sz w:val="21"/>
              </w:rPr>
              <w:t>股道——碳黑投资哲学及投资策略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39" w:type="dxa"/>
            <w:tcBorders>
              <w:top w:val="nil"/>
              <w:bottom w:val="nil"/>
            </w:tcBorders>
          </w:tcPr>
          <w:p>
            <w:pPr>
              <w:pStyle w:val="9"/>
              <w:rPr>
                <w:sz w:val="21"/>
              </w:rPr>
            </w:pPr>
            <w:r>
              <w:rPr>
                <w:sz w:val="21"/>
              </w:rPr>
              <w:t>影视传媒行业投资案例</w:t>
            </w:r>
          </w:p>
        </w:tc>
        <w:tc>
          <w:tcPr>
            <w:tcW w:w="4388" w:type="dxa"/>
            <w:tcBorders>
              <w:top w:val="nil"/>
              <w:bottom w:val="nil"/>
              <w:right w:val="double" w:color="000000" w:sz="0" w:space="0"/>
            </w:tcBorders>
          </w:tcPr>
          <w:p>
            <w:pPr>
              <w:pStyle w:val="9"/>
              <w:ind w:left="68"/>
              <w:rPr>
                <w:sz w:val="21"/>
              </w:rPr>
            </w:pPr>
            <w:r>
              <w:rPr>
                <w:sz w:val="21"/>
              </w:rPr>
              <w:t>逆周期中的投资与决策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39" w:type="dxa"/>
            <w:tcBorders>
              <w:top w:val="nil"/>
              <w:bottom w:val="nil"/>
            </w:tcBorders>
          </w:tcPr>
          <w:p>
            <w:pPr>
              <w:pStyle w:val="9"/>
              <w:rPr>
                <w:sz w:val="21"/>
              </w:rPr>
            </w:pPr>
            <w:r>
              <w:rPr>
                <w:sz w:val="21"/>
              </w:rPr>
              <w:t>现代农业企业投资案例</w:t>
            </w:r>
          </w:p>
        </w:tc>
        <w:tc>
          <w:tcPr>
            <w:tcW w:w="4388" w:type="dxa"/>
            <w:tcBorders>
              <w:top w:val="nil"/>
              <w:bottom w:val="nil"/>
              <w:right w:val="double" w:color="000000" w:sz="0" w:space="0"/>
            </w:tcBorders>
          </w:tcPr>
          <w:p>
            <w:pPr>
              <w:pStyle w:val="9"/>
              <w:ind w:left="68"/>
              <w:rPr>
                <w:sz w:val="21"/>
              </w:rPr>
            </w:pPr>
            <w:r>
              <w:rPr>
                <w:sz w:val="21"/>
              </w:rPr>
              <w:t>各类投资理财产品、基金、私募产品特点和发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39" w:type="dxa"/>
            <w:tcBorders>
              <w:top w:val="nil"/>
              <w:bottom w:val="nil"/>
            </w:tcBorders>
          </w:tcPr>
          <w:p>
            <w:pPr>
              <w:pStyle w:val="9"/>
              <w:rPr>
                <w:sz w:val="21"/>
              </w:rPr>
            </w:pPr>
            <w:r>
              <w:rPr>
                <w:sz w:val="21"/>
              </w:rPr>
              <w:t>健康产业投资案例</w:t>
            </w:r>
          </w:p>
        </w:tc>
        <w:tc>
          <w:tcPr>
            <w:tcW w:w="4388" w:type="dxa"/>
            <w:tcBorders>
              <w:top w:val="nil"/>
              <w:bottom w:val="nil"/>
              <w:right w:val="double" w:color="000000" w:sz="0" w:space="0"/>
            </w:tcBorders>
          </w:tcPr>
          <w:p>
            <w:pPr>
              <w:pStyle w:val="9"/>
              <w:ind w:left="68"/>
              <w:rPr>
                <w:sz w:val="21"/>
              </w:rPr>
            </w:pPr>
            <w:r>
              <w:rPr>
                <w:sz w:val="21"/>
              </w:rPr>
              <w:t>行渠道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39" w:type="dxa"/>
            <w:tcBorders>
              <w:top w:val="nil"/>
              <w:bottom w:val="nil"/>
            </w:tcBorders>
          </w:tcPr>
          <w:p>
            <w:pPr>
              <w:pStyle w:val="9"/>
              <w:rPr>
                <w:sz w:val="21"/>
              </w:rPr>
            </w:pPr>
            <w:r>
              <w:rPr>
                <w:sz w:val="21"/>
              </w:rPr>
              <w:t>高科技企业投资案例</w:t>
            </w:r>
          </w:p>
        </w:tc>
        <w:tc>
          <w:tcPr>
            <w:tcW w:w="4388" w:type="dxa"/>
            <w:tcBorders>
              <w:top w:val="nil"/>
              <w:bottom w:val="nil"/>
              <w:right w:val="double" w:color="000000" w:sz="0" w:space="0"/>
            </w:tcBorders>
          </w:tcPr>
          <w:p>
            <w:pPr>
              <w:pStyle w:val="9"/>
              <w:ind w:left="68"/>
              <w:rPr>
                <w:sz w:val="21"/>
              </w:rPr>
            </w:pPr>
            <w:r>
              <w:rPr>
                <w:sz w:val="21"/>
              </w:rPr>
              <w:t>期货市场的产生、发展、演变、转型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39" w:type="dxa"/>
            <w:tcBorders>
              <w:top w:val="nil"/>
              <w:bottom w:val="nil"/>
            </w:tcBorders>
          </w:tcPr>
          <w:p>
            <w:pPr>
              <w:pStyle w:val="9"/>
              <w:rPr>
                <w:sz w:val="21"/>
              </w:rPr>
            </w:pPr>
            <w:r>
              <w:rPr>
                <w:sz w:val="21"/>
              </w:rPr>
              <w:t>装备制造业投资案例</w:t>
            </w:r>
          </w:p>
        </w:tc>
        <w:tc>
          <w:tcPr>
            <w:tcW w:w="4388" w:type="dxa"/>
            <w:tcBorders>
              <w:top w:val="nil"/>
              <w:bottom w:val="nil"/>
              <w:right w:val="double" w:color="000000" w:sz="0" w:space="0"/>
            </w:tcBorders>
          </w:tcPr>
          <w:p>
            <w:pPr>
              <w:pStyle w:val="9"/>
              <w:ind w:left="68"/>
              <w:rPr>
                <w:sz w:val="21"/>
              </w:rPr>
            </w:pPr>
            <w:r>
              <w:rPr>
                <w:sz w:val="21"/>
              </w:rPr>
              <w:t>价格发现、风险管理、资产配置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39" w:type="dxa"/>
            <w:tcBorders>
              <w:top w:val="nil"/>
              <w:bottom w:val="nil"/>
            </w:tcBorders>
          </w:tcPr>
          <w:p>
            <w:pPr>
              <w:pStyle w:val="9"/>
              <w:rPr>
                <w:sz w:val="21"/>
              </w:rPr>
            </w:pPr>
            <w:r>
              <w:rPr>
                <w:sz w:val="21"/>
              </w:rPr>
              <w:t>现代服务业投资案例</w:t>
            </w:r>
          </w:p>
        </w:tc>
        <w:tc>
          <w:tcPr>
            <w:tcW w:w="4388" w:type="dxa"/>
            <w:tcBorders>
              <w:top w:val="nil"/>
              <w:bottom w:val="nil"/>
              <w:right w:val="double" w:color="000000" w:sz="0" w:space="0"/>
            </w:tcBorders>
          </w:tcPr>
          <w:p>
            <w:pPr>
              <w:pStyle w:val="9"/>
              <w:ind w:left="68"/>
              <w:rPr>
                <w:sz w:val="21"/>
              </w:rPr>
            </w:pPr>
            <w:r>
              <w:rPr>
                <w:sz w:val="21"/>
              </w:rPr>
              <w:t>大宗商品与经济预测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39" w:type="dxa"/>
            <w:tcBorders>
              <w:top w:val="nil"/>
              <w:bottom w:val="nil"/>
            </w:tcBorders>
          </w:tcPr>
          <w:p>
            <w:pPr>
              <w:pStyle w:val="9"/>
              <w:rPr>
                <w:sz w:val="21"/>
              </w:rPr>
            </w:pPr>
            <w:r>
              <w:rPr>
                <w:sz w:val="21"/>
              </w:rPr>
              <w:t>互联网、大数据投资案例</w:t>
            </w:r>
          </w:p>
        </w:tc>
        <w:tc>
          <w:tcPr>
            <w:tcW w:w="4388" w:type="dxa"/>
            <w:tcBorders>
              <w:top w:val="nil"/>
              <w:bottom w:val="nil"/>
              <w:right w:val="double" w:color="000000" w:sz="0" w:space="0"/>
            </w:tcBorders>
          </w:tcPr>
          <w:p>
            <w:pPr>
              <w:pStyle w:val="9"/>
              <w:ind w:left="68"/>
              <w:rPr>
                <w:sz w:val="21"/>
              </w:rPr>
            </w:pPr>
            <w:r>
              <w:rPr>
                <w:sz w:val="21"/>
              </w:rPr>
              <w:t>股票期权市场特点及交易策略与技巧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39" w:type="dxa"/>
            <w:tcBorders>
              <w:top w:val="nil"/>
              <w:bottom w:val="nil"/>
            </w:tcBorders>
          </w:tcPr>
          <w:p>
            <w:pPr>
              <w:pStyle w:val="9"/>
              <w:spacing w:before="0"/>
              <w:ind w:left="0"/>
              <w:rPr>
                <w:rFonts w:ascii="Times New Roman"/>
                <w:sz w:val="22"/>
              </w:rPr>
            </w:pPr>
          </w:p>
        </w:tc>
        <w:tc>
          <w:tcPr>
            <w:tcW w:w="4388" w:type="dxa"/>
            <w:tcBorders>
              <w:top w:val="nil"/>
              <w:bottom w:val="nil"/>
              <w:right w:val="double" w:color="000000" w:sz="0" w:space="0"/>
            </w:tcBorders>
          </w:tcPr>
          <w:p>
            <w:pPr>
              <w:pStyle w:val="9"/>
              <w:ind w:left="68"/>
              <w:rPr>
                <w:sz w:val="21"/>
              </w:rPr>
            </w:pPr>
            <w:r>
              <w:rPr>
                <w:sz w:val="21"/>
              </w:rPr>
              <w:t>期货在资本市场、金融体系中的地位和作用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39" w:type="dxa"/>
            <w:tcBorders>
              <w:top w:val="nil"/>
              <w:bottom w:val="nil"/>
            </w:tcBorders>
          </w:tcPr>
          <w:p>
            <w:pPr>
              <w:pStyle w:val="9"/>
              <w:spacing w:before="0"/>
              <w:ind w:left="0"/>
              <w:rPr>
                <w:rFonts w:ascii="Times New Roman"/>
                <w:sz w:val="22"/>
              </w:rPr>
            </w:pPr>
          </w:p>
        </w:tc>
        <w:tc>
          <w:tcPr>
            <w:tcW w:w="4388" w:type="dxa"/>
            <w:tcBorders>
              <w:top w:val="nil"/>
              <w:bottom w:val="nil"/>
              <w:right w:val="double" w:color="000000" w:sz="0" w:space="0"/>
            </w:tcBorders>
          </w:tcPr>
          <w:p>
            <w:pPr>
              <w:pStyle w:val="9"/>
              <w:ind w:left="68"/>
              <w:rPr>
                <w:sz w:val="21"/>
              </w:rPr>
            </w:pPr>
            <w:r>
              <w:rPr>
                <w:sz w:val="21"/>
              </w:rPr>
              <w:t>金融衍生品与金融危机的形成、征兆与防范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039" w:type="dxa"/>
            <w:tcBorders>
              <w:top w:val="nil"/>
            </w:tcBorders>
          </w:tcPr>
          <w:p>
            <w:pPr>
              <w:pStyle w:val="9"/>
              <w:spacing w:before="0"/>
              <w:ind w:left="0"/>
              <w:rPr>
                <w:rFonts w:ascii="Times New Roman"/>
                <w:sz w:val="22"/>
              </w:rPr>
            </w:pPr>
          </w:p>
        </w:tc>
        <w:tc>
          <w:tcPr>
            <w:tcW w:w="4388" w:type="dxa"/>
            <w:tcBorders>
              <w:top w:val="nil"/>
              <w:right w:val="double" w:color="000000" w:sz="0" w:space="0"/>
            </w:tcBorders>
          </w:tcPr>
          <w:p>
            <w:pPr>
              <w:pStyle w:val="9"/>
              <w:ind w:left="68"/>
              <w:rPr>
                <w:sz w:val="21"/>
              </w:rPr>
            </w:pPr>
            <w:r>
              <w:rPr>
                <w:sz w:val="21"/>
              </w:rPr>
              <w:t>国际重大风险事件与金融监管体制演变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1" w:hRule="atLeast"/>
        </w:trPr>
        <w:tc>
          <w:tcPr>
            <w:tcW w:w="4039" w:type="dxa"/>
          </w:tcPr>
          <w:p>
            <w:pPr>
              <w:pStyle w:val="9"/>
              <w:spacing w:before="174"/>
              <w:rPr>
                <w:b/>
                <w:sz w:val="21"/>
              </w:rPr>
            </w:pPr>
            <w:r>
              <w:rPr>
                <w:b/>
                <w:sz w:val="21"/>
              </w:rPr>
              <w:t>模块十一：公司治理与资本运作</w:t>
            </w:r>
          </w:p>
        </w:tc>
        <w:tc>
          <w:tcPr>
            <w:tcW w:w="4388" w:type="dxa"/>
            <w:tcBorders>
              <w:right w:val="double" w:color="000000" w:sz="0" w:space="0"/>
            </w:tcBorders>
          </w:tcPr>
          <w:p>
            <w:pPr>
              <w:pStyle w:val="9"/>
              <w:spacing w:before="174"/>
              <w:ind w:left="68"/>
              <w:rPr>
                <w:b/>
                <w:sz w:val="21"/>
              </w:rPr>
            </w:pPr>
            <w:r>
              <w:rPr>
                <w:b/>
                <w:sz w:val="21"/>
              </w:rPr>
              <w:t>模块十二：投资行为与心态的修炼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71" w:hRule="atLeast"/>
        </w:trPr>
        <w:tc>
          <w:tcPr>
            <w:tcW w:w="4039" w:type="dxa"/>
            <w:tcBorders>
              <w:bottom w:val="nil"/>
            </w:tcBorders>
          </w:tcPr>
          <w:p>
            <w:pPr>
              <w:pStyle w:val="9"/>
              <w:spacing w:before="81"/>
              <w:rPr>
                <w:sz w:val="21"/>
              </w:rPr>
            </w:pPr>
            <w:r>
              <w:rPr>
                <w:sz w:val="21"/>
              </w:rPr>
              <w:t>企业战略规划与管理</w:t>
            </w:r>
          </w:p>
        </w:tc>
        <w:tc>
          <w:tcPr>
            <w:tcW w:w="4388" w:type="dxa"/>
            <w:tcBorders>
              <w:bottom w:val="nil"/>
              <w:right w:val="double" w:color="000000" w:sz="0" w:space="0"/>
            </w:tcBorders>
          </w:tcPr>
          <w:p>
            <w:pPr>
              <w:pStyle w:val="9"/>
              <w:spacing w:before="81"/>
              <w:ind w:left="68"/>
              <w:rPr>
                <w:sz w:val="21"/>
              </w:rPr>
            </w:pPr>
            <w:r>
              <w:rPr>
                <w:sz w:val="21"/>
              </w:rPr>
              <w:t>国学智慧与金融投资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39" w:type="dxa"/>
            <w:tcBorders>
              <w:top w:val="nil"/>
              <w:bottom w:val="nil"/>
            </w:tcBorders>
          </w:tcPr>
          <w:p>
            <w:pPr>
              <w:pStyle w:val="9"/>
              <w:rPr>
                <w:sz w:val="21"/>
              </w:rPr>
            </w:pPr>
            <w:r>
              <w:rPr>
                <w:sz w:val="21"/>
              </w:rPr>
              <w:t>现代公司治理创新与国际比较</w:t>
            </w:r>
          </w:p>
        </w:tc>
        <w:tc>
          <w:tcPr>
            <w:tcW w:w="4388" w:type="dxa"/>
            <w:tcBorders>
              <w:top w:val="nil"/>
              <w:bottom w:val="nil"/>
              <w:right w:val="double" w:color="000000" w:sz="0" w:space="0"/>
            </w:tcBorders>
          </w:tcPr>
          <w:p>
            <w:pPr>
              <w:pStyle w:val="9"/>
              <w:ind w:left="68"/>
              <w:rPr>
                <w:sz w:val="21"/>
              </w:rPr>
            </w:pPr>
            <w:r>
              <w:rPr>
                <w:sz w:val="21"/>
              </w:rPr>
              <w:t>压力管理与良好心态修炼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1" w:hRule="atLeast"/>
        </w:trPr>
        <w:tc>
          <w:tcPr>
            <w:tcW w:w="4039" w:type="dxa"/>
            <w:tcBorders>
              <w:top w:val="nil"/>
              <w:bottom w:val="nil"/>
            </w:tcBorders>
          </w:tcPr>
          <w:p>
            <w:pPr>
              <w:pStyle w:val="9"/>
              <w:rPr>
                <w:sz w:val="21"/>
              </w:rPr>
            </w:pPr>
            <w:r>
              <w:rPr>
                <w:sz w:val="21"/>
              </w:rPr>
              <w:t>大数据时代下企业创新与转型升级</w:t>
            </w:r>
          </w:p>
        </w:tc>
        <w:tc>
          <w:tcPr>
            <w:tcW w:w="4388" w:type="dxa"/>
            <w:tcBorders>
              <w:top w:val="nil"/>
              <w:bottom w:val="nil"/>
              <w:right w:val="double" w:color="000000" w:sz="0" w:space="0"/>
            </w:tcBorders>
          </w:tcPr>
          <w:p>
            <w:pPr>
              <w:pStyle w:val="9"/>
              <w:ind w:left="68"/>
              <w:rPr>
                <w:sz w:val="21"/>
              </w:rPr>
            </w:pPr>
            <w:r>
              <w:rPr>
                <w:sz w:val="21"/>
              </w:rPr>
              <w:t>金融心理学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39" w:type="dxa"/>
            <w:tcBorders>
              <w:top w:val="nil"/>
              <w:bottom w:val="nil"/>
            </w:tcBorders>
          </w:tcPr>
          <w:p>
            <w:pPr>
              <w:pStyle w:val="9"/>
              <w:rPr>
                <w:sz w:val="21"/>
              </w:rPr>
            </w:pPr>
            <w:r>
              <w:rPr>
                <w:sz w:val="21"/>
              </w:rPr>
              <w:t>互联网+金融与商业模式重构</w:t>
            </w:r>
          </w:p>
        </w:tc>
        <w:tc>
          <w:tcPr>
            <w:tcW w:w="4388" w:type="dxa"/>
            <w:tcBorders>
              <w:top w:val="nil"/>
              <w:bottom w:val="nil"/>
              <w:right w:val="double" w:color="000000" w:sz="0" w:space="0"/>
            </w:tcBorders>
          </w:tcPr>
          <w:p>
            <w:pPr>
              <w:pStyle w:val="9"/>
              <w:ind w:left="68"/>
              <w:rPr>
                <w:sz w:val="21"/>
              </w:rPr>
            </w:pPr>
            <w:r>
              <w:rPr>
                <w:sz w:val="21"/>
              </w:rPr>
              <w:t>国学智慧与投资博弈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39" w:type="dxa"/>
            <w:tcBorders>
              <w:top w:val="nil"/>
              <w:bottom w:val="nil"/>
            </w:tcBorders>
          </w:tcPr>
          <w:p>
            <w:pPr>
              <w:pStyle w:val="9"/>
              <w:rPr>
                <w:sz w:val="21"/>
              </w:rPr>
            </w:pPr>
            <w:r>
              <w:rPr>
                <w:sz w:val="21"/>
              </w:rPr>
              <w:t>股权投资推动企业发展</w:t>
            </w:r>
          </w:p>
        </w:tc>
        <w:tc>
          <w:tcPr>
            <w:tcW w:w="4388" w:type="dxa"/>
            <w:tcBorders>
              <w:top w:val="nil"/>
              <w:bottom w:val="nil"/>
              <w:right w:val="double" w:color="000000" w:sz="0" w:space="0"/>
            </w:tcBorders>
          </w:tcPr>
          <w:p>
            <w:pPr>
              <w:pStyle w:val="9"/>
              <w:ind w:left="68"/>
              <w:rPr>
                <w:sz w:val="21"/>
              </w:rPr>
            </w:pPr>
            <w:r>
              <w:rPr>
                <w:sz w:val="21"/>
              </w:rPr>
              <w:t>中外优秀投资者行为比较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2" w:hRule="atLeast"/>
        </w:trPr>
        <w:tc>
          <w:tcPr>
            <w:tcW w:w="4039" w:type="dxa"/>
            <w:tcBorders>
              <w:top w:val="nil"/>
              <w:bottom w:val="nil"/>
            </w:tcBorders>
          </w:tcPr>
          <w:p>
            <w:pPr>
              <w:pStyle w:val="9"/>
              <w:spacing w:before="0"/>
              <w:ind w:left="0"/>
              <w:rPr>
                <w:rFonts w:ascii="Times New Roman"/>
                <w:sz w:val="22"/>
              </w:rPr>
            </w:pPr>
          </w:p>
        </w:tc>
        <w:tc>
          <w:tcPr>
            <w:tcW w:w="4388" w:type="dxa"/>
            <w:tcBorders>
              <w:top w:val="nil"/>
              <w:bottom w:val="nil"/>
              <w:right w:val="double" w:color="000000" w:sz="0" w:space="0"/>
            </w:tcBorders>
          </w:tcPr>
          <w:p>
            <w:pPr>
              <w:pStyle w:val="9"/>
              <w:ind w:left="68"/>
              <w:rPr>
                <w:sz w:val="21"/>
              </w:rPr>
            </w:pPr>
            <w:r>
              <w:rPr>
                <w:sz w:val="21"/>
              </w:rPr>
              <w:t>人性的弱点与交易心理学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4" w:hRule="atLeast"/>
        </w:trPr>
        <w:tc>
          <w:tcPr>
            <w:tcW w:w="4039" w:type="dxa"/>
            <w:tcBorders>
              <w:top w:val="nil"/>
            </w:tcBorders>
          </w:tcPr>
          <w:p>
            <w:pPr>
              <w:pStyle w:val="9"/>
              <w:spacing w:before="0"/>
              <w:ind w:left="0"/>
              <w:rPr>
                <w:rFonts w:ascii="Times New Roman"/>
                <w:sz w:val="22"/>
              </w:rPr>
            </w:pPr>
          </w:p>
        </w:tc>
        <w:tc>
          <w:tcPr>
            <w:tcW w:w="4388" w:type="dxa"/>
            <w:tcBorders>
              <w:top w:val="nil"/>
              <w:right w:val="double" w:color="000000" w:sz="0" w:space="0"/>
            </w:tcBorders>
          </w:tcPr>
          <w:p>
            <w:pPr>
              <w:pStyle w:val="9"/>
              <w:ind w:left="68"/>
              <w:rPr>
                <w:sz w:val="21"/>
              </w:rPr>
            </w:pPr>
            <w:r>
              <w:rPr>
                <w:sz w:val="21"/>
              </w:rPr>
              <w:t>行为金融对交易结果的影响</w:t>
            </w:r>
          </w:p>
        </w:tc>
      </w:tr>
    </w:tbl>
    <w:p>
      <w:pPr>
        <w:pStyle w:val="3"/>
        <w:spacing w:before="11"/>
        <w:ind w:left="0"/>
        <w:rPr>
          <w:rFonts w:ascii="Times New Roman"/>
          <w:sz w:val="11"/>
        </w:rPr>
      </w:pPr>
    </w:p>
    <w:p>
      <w:pPr>
        <w:spacing w:before="68"/>
        <w:ind w:left="112" w:right="0" w:firstLine="0"/>
        <w:jc w:val="left"/>
        <w:rPr>
          <w:b/>
          <w:sz w:val="24"/>
        </w:rPr>
      </w:pPr>
      <w:r>
        <w:rPr>
          <w:rFonts w:hint="eastAsia" w:ascii="宋体" w:eastAsia="宋体"/>
          <w:b/>
          <w:sz w:val="24"/>
        </w:rPr>
        <w:t>【拟邀师资（部分）】</w:t>
      </w:r>
      <w:r>
        <w:rPr>
          <w:sz w:val="24"/>
        </w:rPr>
        <w:t>拟安排以下主要老师，具体授课以实际安排为准</w:t>
      </w:r>
      <w:r>
        <w:rPr>
          <w:b/>
          <w:sz w:val="24"/>
        </w:rPr>
        <w:t>：</w:t>
      </w:r>
    </w:p>
    <w:p>
      <w:pPr>
        <w:pStyle w:val="3"/>
        <w:spacing w:before="14"/>
        <w:ind w:left="0"/>
        <w:rPr>
          <w:b/>
          <w:sz w:val="16"/>
        </w:rPr>
      </w:pPr>
    </w:p>
    <w:p>
      <w:pPr>
        <w:pStyle w:val="3"/>
        <w:tabs>
          <w:tab w:val="left" w:pos="592"/>
          <w:tab w:val="left" w:pos="3232"/>
        </w:tabs>
        <w:spacing w:line="213" w:lineRule="auto"/>
        <w:ind w:right="6031"/>
      </w:pPr>
      <w:r>
        <w:t>何小锋：北京大学经济学院</w:t>
      </w:r>
      <w:r>
        <w:tab/>
      </w:r>
      <w:r>
        <w:t>教 授 董志勇：北京大学经济学院</w:t>
      </w:r>
      <w:r>
        <w:tab/>
      </w:r>
      <w:r>
        <w:t>教 授 萧</w:t>
      </w:r>
      <w:r>
        <w:tab/>
      </w:r>
      <w:r>
        <w:t>琛：北京大学经济学院</w:t>
      </w:r>
      <w:r>
        <w:tab/>
      </w:r>
      <w:r>
        <w:t>教 授 张</w:t>
      </w:r>
      <w:r>
        <w:tab/>
      </w:r>
      <w:r>
        <w:t>辉：北京大学经济学院</w:t>
      </w:r>
      <w:r>
        <w:tab/>
      </w:r>
      <w:r>
        <w:t>教 授 张亚光：北京大学经济学院</w:t>
      </w:r>
      <w:r>
        <w:tab/>
      </w:r>
      <w:r>
        <w:t>副教</w:t>
      </w:r>
      <w:r>
        <w:rPr>
          <w:spacing w:val="-17"/>
        </w:rPr>
        <w:t>授</w:t>
      </w:r>
      <w:r>
        <w:t>曹和平：北京大学经济学院</w:t>
      </w:r>
      <w:r>
        <w:tab/>
      </w:r>
      <w:r>
        <w:t>教 授 吕随启：北京大学经济学院</w:t>
      </w:r>
      <w:r>
        <w:tab/>
      </w:r>
      <w:r>
        <w:t>副教</w:t>
      </w:r>
      <w:r>
        <w:rPr>
          <w:spacing w:val="-17"/>
        </w:rPr>
        <w:t>授</w:t>
      </w:r>
      <w:r>
        <w:t>冯</w:t>
      </w:r>
      <w:r>
        <w:tab/>
      </w:r>
      <w:r>
        <w:t>科：北京大学经济学院</w:t>
      </w:r>
      <w:r>
        <w:tab/>
      </w:r>
      <w:r>
        <w:t>副教</w:t>
      </w:r>
      <w:r>
        <w:rPr>
          <w:spacing w:val="-17"/>
        </w:rPr>
        <w:t>授</w:t>
      </w:r>
      <w:r>
        <w:t>王一鸣：北京大学经济学院</w:t>
      </w:r>
      <w:r>
        <w:tab/>
      </w:r>
      <w:r>
        <w:t>教 授 李连发：北京大学经济学院</w:t>
      </w:r>
      <w:r>
        <w:tab/>
      </w:r>
      <w:r>
        <w:t>教授</w:t>
      </w:r>
    </w:p>
    <w:p>
      <w:pPr>
        <w:pStyle w:val="3"/>
        <w:tabs>
          <w:tab w:val="left" w:pos="592"/>
        </w:tabs>
        <w:spacing w:line="213" w:lineRule="auto"/>
        <w:ind w:right="3511"/>
      </w:pPr>
      <w:r>
        <w:t>黄</w:t>
      </w:r>
      <w:r>
        <w:tab/>
      </w:r>
      <w:r>
        <w:t>嵩：北京大学软件与微电子学院金融信息工程系 副教</w:t>
      </w:r>
      <w:r>
        <w:rPr>
          <w:spacing w:val="-17"/>
        </w:rPr>
        <w:t>授</w:t>
      </w:r>
      <w:r>
        <w:t>黄俊立：北京大学马克思主义学院 副教授</w:t>
      </w:r>
    </w:p>
    <w:p>
      <w:pPr>
        <w:pStyle w:val="3"/>
        <w:spacing w:line="341" w:lineRule="exact"/>
      </w:pPr>
      <w:r>
        <w:t>阚治东：东方汇富创投管理有限公司总裁</w:t>
      </w:r>
    </w:p>
    <w:p>
      <w:pPr>
        <w:pStyle w:val="3"/>
        <w:spacing w:line="371" w:lineRule="exact"/>
      </w:pPr>
      <w:r>
        <w:t>金岩石：独立经济学家，并任北京鑫星伊顿投资顾问有限公司 CEO。</w:t>
      </w:r>
      <w:r>
        <w:fldChar w:fldCharType="begin"/>
      </w:r>
      <w:r>
        <w:instrText xml:space="preserve"> HYPERLINK "http://baike.baidu.com/item/%E5%9B%BD%E9%87%91%E8%AF%81%E5%88%B8" \h </w:instrText>
      </w:r>
      <w:r>
        <w:fldChar w:fldCharType="separate"/>
      </w:r>
      <w:r>
        <w:t>曾为国金证券</w:t>
      </w:r>
      <w:r>
        <w:fldChar w:fldCharType="end"/>
      </w:r>
      <w:r>
        <w:t>首席经济</w:t>
      </w:r>
    </w:p>
    <w:p>
      <w:pPr>
        <w:spacing w:after="0" w:line="371" w:lineRule="exact"/>
        <w:sectPr>
          <w:pgSz w:w="11910" w:h="16840"/>
          <w:pgMar w:top="1760" w:right="900" w:bottom="1100" w:left="1020" w:header="852" w:footer="910" w:gutter="0"/>
          <w:cols w:space="720" w:num="1"/>
        </w:sectPr>
      </w:pPr>
    </w:p>
    <w:p>
      <w:pPr>
        <w:pStyle w:val="3"/>
        <w:spacing w:before="14"/>
        <w:ind w:left="0"/>
      </w:pPr>
    </w:p>
    <w:p>
      <w:pPr>
        <w:pStyle w:val="3"/>
        <w:spacing w:before="68" w:line="372" w:lineRule="exact"/>
        <w:ind w:left="1072"/>
      </w:pPr>
      <w:r>
        <w:fldChar w:fldCharType="begin"/>
      </w:r>
      <w:r>
        <w:instrText xml:space="preserve"> HYPERLINK "http://baike.baidu.com/item/%E7%B4%A2%E7%BD%97%E6%96%AF" \h </w:instrText>
      </w:r>
      <w:r>
        <w:fldChar w:fldCharType="separate"/>
      </w:r>
      <w:r>
        <w:t>学家，被海内外媒体誉为“索罗斯</w:t>
      </w:r>
      <w:r>
        <w:fldChar w:fldCharType="end"/>
      </w:r>
      <w:r>
        <w:t>的中国门徒”、“</w:t>
      </w:r>
      <w:r>
        <w:fldChar w:fldCharType="begin"/>
      </w:r>
      <w:r>
        <w:instrText xml:space="preserve"> HYPERLINK "http://baike.baidu.com/item/%E7%BA%B3%E6%96%AF%E8%BE%BE%E5%85%8B" \h </w:instrText>
      </w:r>
      <w:r>
        <w:fldChar w:fldCharType="separate"/>
      </w:r>
      <w:r>
        <w:t>纳斯达克</w:t>
      </w:r>
      <w:r>
        <w:fldChar w:fldCharType="end"/>
      </w:r>
      <w:r>
        <w:t>市场的活字典”</w:t>
      </w:r>
    </w:p>
    <w:p>
      <w:pPr>
        <w:pStyle w:val="3"/>
        <w:tabs>
          <w:tab w:val="left" w:pos="592"/>
        </w:tabs>
        <w:spacing w:before="11" w:line="211" w:lineRule="auto"/>
        <w:ind w:left="1072" w:right="232" w:hanging="960"/>
      </w:pPr>
      <w:r>
        <w:t>徐</w:t>
      </w:r>
      <w:r>
        <w:tab/>
      </w:r>
      <w:r>
        <w:t>旻</w:t>
      </w:r>
      <w:r>
        <w:rPr>
          <w:spacing w:val="-5"/>
        </w:rPr>
        <w:t>：</w:t>
      </w:r>
      <w:r>
        <w:t>管理学博士</w:t>
      </w:r>
      <w:r>
        <w:rPr>
          <w:spacing w:val="-5"/>
        </w:rPr>
        <w:t>、</w:t>
      </w:r>
      <w:r>
        <w:t>著名天使投资人</w:t>
      </w:r>
      <w:r>
        <w:rPr>
          <w:spacing w:val="-3"/>
        </w:rPr>
        <w:t>。</w:t>
      </w:r>
      <w:r>
        <w:t>中国企业联合会专家委员会委员</w:t>
      </w:r>
      <w:r>
        <w:rPr>
          <w:spacing w:val="-3"/>
        </w:rPr>
        <w:t>,</w:t>
      </w:r>
      <w:r>
        <w:t>中国中小企业合</w:t>
      </w:r>
      <w:r>
        <w:rPr>
          <w:spacing w:val="-15"/>
        </w:rPr>
        <w:t>作</w:t>
      </w:r>
      <w:r>
        <w:t>发展促进中心全国区域经济发展工委常务副主任。</w:t>
      </w:r>
    </w:p>
    <w:p>
      <w:pPr>
        <w:pStyle w:val="3"/>
        <w:spacing w:line="345" w:lineRule="exact"/>
      </w:pPr>
      <w:r>
        <w:t>李左东：商务部国际经济贸易问题专家</w:t>
      </w:r>
    </w:p>
    <w:p>
      <w:pPr>
        <w:pStyle w:val="3"/>
        <w:spacing w:line="349" w:lineRule="exact"/>
      </w:pPr>
      <w:r>
        <w:t>鲁公路：清华五道口国家金融研究院研究员</w:t>
      </w:r>
    </w:p>
    <w:p>
      <w:pPr>
        <w:pStyle w:val="3"/>
        <w:spacing w:line="349" w:lineRule="exact"/>
      </w:pPr>
      <w:r>
        <w:t>刘海峰：著名管理专家，BIR 品牌管理系统创始人</w:t>
      </w:r>
    </w:p>
    <w:p>
      <w:pPr>
        <w:pStyle w:val="3"/>
        <w:spacing w:line="362" w:lineRule="exact"/>
      </w:pPr>
      <w:r>
        <w:t>朱幼平：国家信息中心中经网管理中心副主任、研究员</w:t>
      </w:r>
    </w:p>
    <w:p>
      <w:pPr>
        <w:pStyle w:val="2"/>
        <w:spacing w:before="0" w:line="298" w:lineRule="exact"/>
      </w:pPr>
      <w:r>
        <w:t>【学习时间】</w:t>
      </w:r>
    </w:p>
    <w:p>
      <w:pPr>
        <w:pStyle w:val="3"/>
        <w:spacing w:before="136"/>
        <w:ind w:left="592"/>
      </w:pPr>
      <w:r>
        <w:rPr>
          <w:rFonts w:hint="eastAsia"/>
          <w:lang w:val="en-US" w:eastAsia="zh-CN"/>
        </w:rPr>
        <w:t>学制12个月</w:t>
      </w:r>
      <w:r>
        <w:t>，每月上课一次，每次集中授课 2 天，共 24 天。</w:t>
      </w:r>
    </w:p>
    <w:p>
      <w:pPr>
        <w:pStyle w:val="2"/>
        <w:spacing w:before="135"/>
      </w:pPr>
      <w:r>
        <w:rPr>
          <w:w w:val="95"/>
        </w:rPr>
        <w:t>【授课地点】</w:t>
      </w:r>
    </w:p>
    <w:p>
      <w:pPr>
        <w:pStyle w:val="3"/>
        <w:spacing w:before="136"/>
        <w:ind w:left="592"/>
      </w:pPr>
      <w:r>
        <w:t>北京大学</w:t>
      </w:r>
    </w:p>
    <w:p>
      <w:pPr>
        <w:pStyle w:val="2"/>
        <w:spacing w:before="137"/>
      </w:pPr>
      <w:r>
        <w:rPr>
          <w:w w:val="95"/>
        </w:rPr>
        <w:t>【证书管理】</w:t>
      </w:r>
    </w:p>
    <w:p>
      <w:pPr>
        <w:pStyle w:val="3"/>
        <w:spacing w:before="164" w:line="213" w:lineRule="auto"/>
        <w:ind w:right="230" w:firstLine="480"/>
      </w:pPr>
      <w:r>
        <w:t>学完全部课程并考核合格后，由北京大学颁发学校统一编号的培训结业证书，证书盖北京大学钢印，证书编号可登陆北大网站查询。</w:t>
      </w:r>
    </w:p>
    <w:p>
      <w:pPr>
        <w:pStyle w:val="2"/>
        <w:spacing w:before="150"/>
      </w:pPr>
      <w:r>
        <w:t>【学费标准】</w:t>
      </w:r>
    </w:p>
    <w:p>
      <w:pPr>
        <w:pStyle w:val="3"/>
        <w:spacing w:before="4"/>
        <w:ind w:left="0"/>
        <w:rPr>
          <w:rFonts w:ascii="宋体"/>
          <w:b/>
          <w:sz w:val="21"/>
        </w:rPr>
      </w:pPr>
    </w:p>
    <w:p>
      <w:pPr>
        <w:pStyle w:val="3"/>
        <w:spacing w:before="1"/>
        <w:ind w:left="592"/>
      </w:pPr>
      <w:r>
        <w:t>培训学费：￥128000 元/人/期，上课期间食宿及其它费用自理。</w:t>
      </w:r>
    </w:p>
    <w:p>
      <w:pPr>
        <w:pStyle w:val="3"/>
        <w:ind w:left="0"/>
        <w:rPr>
          <w:sz w:val="17"/>
        </w:rPr>
      </w:pPr>
    </w:p>
    <w:p>
      <w:pPr>
        <w:pStyle w:val="3"/>
        <w:spacing w:line="213" w:lineRule="auto"/>
        <w:ind w:right="271" w:firstLine="480"/>
        <w:jc w:val="both"/>
      </w:pPr>
      <w:r>
        <w:t>培训学费由北京大学财务部在开班前统一收取，开具中央非税收入统一票据，并严格执行有关财务规定。请学员将学费汇至北京大学帐户。请直接向北京大学交费，不要向其他任何个人或组织交费。</w:t>
      </w:r>
    </w:p>
    <w:p>
      <w:pPr>
        <w:pStyle w:val="2"/>
        <w:spacing w:before="148"/>
      </w:pPr>
      <w:r>
        <w:t>【汇款方式】</w:t>
      </w:r>
    </w:p>
    <w:p>
      <w:pPr>
        <w:pStyle w:val="3"/>
        <w:tabs>
          <w:tab w:val="left" w:pos="1072"/>
        </w:tabs>
        <w:spacing w:before="134"/>
        <w:ind w:left="592"/>
      </w:pPr>
      <w:r>
        <w:t>户</w:t>
      </w:r>
      <w:r>
        <w:tab/>
      </w:r>
      <w:r>
        <w:t>名：北京大学</w:t>
      </w:r>
    </w:p>
    <w:p>
      <w:pPr>
        <w:pStyle w:val="3"/>
        <w:tabs>
          <w:tab w:val="left" w:pos="1072"/>
        </w:tabs>
        <w:spacing w:before="113" w:line="309" w:lineRule="auto"/>
        <w:ind w:left="592" w:right="6031"/>
      </w:pPr>
      <w:r>
        <w:t>开户行：工行北京海淀西区支</w:t>
      </w:r>
      <w:r>
        <w:rPr>
          <w:spacing w:val="-17"/>
        </w:rPr>
        <w:t>行</w:t>
      </w:r>
      <w:r>
        <w:t>帐</w:t>
      </w:r>
      <w:r>
        <w:tab/>
      </w:r>
      <w:r>
        <w:t>号：0200004509089131151</w:t>
      </w:r>
    </w:p>
    <w:p>
      <w:pPr>
        <w:pStyle w:val="3"/>
        <w:spacing w:before="25" w:line="213" w:lineRule="auto"/>
        <w:ind w:right="313" w:firstLine="480"/>
      </w:pPr>
      <w:r>
        <w:t>在汇款单“用途”栏里务必填上“经济学院+金融与投资班+学员姓名”。 汇款后请将银行汇款回单复印件发送给教务组。</w:t>
      </w:r>
    </w:p>
    <w:p>
      <w:pPr>
        <w:pStyle w:val="2"/>
        <w:spacing w:before="150"/>
      </w:pPr>
      <w:r>
        <w:t>【报名流程】</w:t>
      </w:r>
    </w:p>
    <w:p>
      <w:pPr>
        <w:spacing w:before="134"/>
        <w:ind w:left="112" w:right="0" w:firstLine="0"/>
        <w:jc w:val="left"/>
        <w:rPr>
          <w:b/>
          <w:sz w:val="24"/>
        </w:rPr>
      </w:pPr>
      <w:r>
        <w:rPr>
          <w:b/>
          <w:sz w:val="24"/>
        </w:rPr>
        <w:t>填写报名表 → 邮寄报名材料和照片→缴纳学费 → 发入学通知书 → 报到入学</w:t>
      </w:r>
    </w:p>
    <w:p>
      <w:pPr>
        <w:pStyle w:val="8"/>
        <w:numPr>
          <w:ilvl w:val="0"/>
          <w:numId w:val="3"/>
        </w:numPr>
        <w:tabs>
          <w:tab w:val="left" w:pos="473"/>
        </w:tabs>
        <w:spacing w:before="113" w:after="0" w:line="240" w:lineRule="auto"/>
        <w:ind w:left="112" w:right="0" w:firstLine="0"/>
        <w:jc w:val="left"/>
        <w:rPr>
          <w:sz w:val="24"/>
        </w:rPr>
      </w:pPr>
      <w:r>
        <w:rPr>
          <w:sz w:val="24"/>
        </w:rPr>
        <w:t>申请报名：申请者可通过电话索要报名表报名，报名表格复印有效。</w:t>
      </w:r>
    </w:p>
    <w:p>
      <w:pPr>
        <w:pStyle w:val="3"/>
        <w:spacing w:before="145" w:line="211" w:lineRule="auto"/>
        <w:ind w:right="271"/>
      </w:pPr>
      <w:r>
        <w:t>报名表填写后请用电子邮件发送，并同时邮寄报名材料和照片，包括本人身份证、学历证明及交费单据复印件、四张证件照片（1 寸和 2 寸照片各两张，照片背面写明姓名）。</w:t>
      </w:r>
    </w:p>
    <w:p>
      <w:pPr>
        <w:spacing w:after="0" w:line="211" w:lineRule="auto"/>
        <w:sectPr>
          <w:pgSz w:w="11910" w:h="16840"/>
          <w:pgMar w:top="1760" w:right="900" w:bottom="1180" w:left="1020" w:header="852" w:footer="910" w:gutter="0"/>
          <w:cols w:space="720" w:num="1"/>
        </w:sectPr>
      </w:pPr>
    </w:p>
    <w:p>
      <w:pPr>
        <w:pStyle w:val="3"/>
        <w:spacing w:before="14"/>
        <w:ind w:left="0"/>
      </w:pPr>
    </w:p>
    <w:p>
      <w:pPr>
        <w:pStyle w:val="8"/>
        <w:numPr>
          <w:ilvl w:val="0"/>
          <w:numId w:val="3"/>
        </w:numPr>
        <w:tabs>
          <w:tab w:val="left" w:pos="473"/>
        </w:tabs>
        <w:spacing w:before="68" w:after="0" w:line="240" w:lineRule="auto"/>
        <w:ind w:left="112" w:right="0" w:firstLine="0"/>
        <w:jc w:val="left"/>
        <w:rPr>
          <w:sz w:val="24"/>
        </w:rPr>
      </w:pPr>
      <w:r>
        <w:rPr>
          <w:sz w:val="24"/>
        </w:rPr>
        <w:t>确认回访：经审查合格者，发“交费须知”。</w:t>
      </w:r>
    </w:p>
    <w:p>
      <w:pPr>
        <w:pStyle w:val="8"/>
        <w:numPr>
          <w:ilvl w:val="0"/>
          <w:numId w:val="3"/>
        </w:numPr>
        <w:tabs>
          <w:tab w:val="left" w:pos="473"/>
        </w:tabs>
        <w:spacing w:before="113" w:after="0" w:line="240" w:lineRule="auto"/>
        <w:ind w:left="112" w:right="0" w:firstLine="0"/>
        <w:jc w:val="left"/>
        <w:rPr>
          <w:sz w:val="24"/>
        </w:rPr>
      </w:pPr>
      <w:r>
        <w:rPr>
          <w:sz w:val="24"/>
        </w:rPr>
        <w:t>缴纳学费：学员收到“交费须知”后，按要求交纳全部学费。</w:t>
      </w:r>
    </w:p>
    <w:p>
      <w:pPr>
        <w:pStyle w:val="8"/>
        <w:numPr>
          <w:ilvl w:val="0"/>
          <w:numId w:val="3"/>
        </w:numPr>
        <w:tabs>
          <w:tab w:val="left" w:pos="473"/>
        </w:tabs>
        <w:spacing w:before="140" w:after="0" w:line="213" w:lineRule="auto"/>
        <w:ind w:left="112" w:right="230" w:firstLine="0"/>
        <w:jc w:val="left"/>
        <w:rPr>
          <w:sz w:val="24"/>
        </w:rPr>
      </w:pPr>
      <w:r>
        <w:rPr>
          <w:spacing w:val="-11"/>
          <w:sz w:val="24"/>
        </w:rPr>
        <w:t>入学通知：学员交纳学费到账后，将按照北京大学的有关规定开具行政事业单位统一票据</w:t>
      </w:r>
      <w:r>
        <w:rPr>
          <w:sz w:val="24"/>
        </w:rPr>
        <w:t>并发入学通知书。</w:t>
      </w:r>
    </w:p>
    <w:p>
      <w:pPr>
        <w:pStyle w:val="8"/>
        <w:numPr>
          <w:ilvl w:val="0"/>
          <w:numId w:val="3"/>
        </w:numPr>
        <w:tabs>
          <w:tab w:val="left" w:pos="473"/>
        </w:tabs>
        <w:spacing w:before="127" w:after="0" w:line="371" w:lineRule="exact"/>
        <w:ind w:left="472" w:right="0" w:hanging="360"/>
        <w:jc w:val="left"/>
        <w:rPr>
          <w:sz w:val="24"/>
        </w:rPr>
      </w:pPr>
      <w:r>
        <w:rPr>
          <w:spacing w:val="-8"/>
          <w:sz w:val="24"/>
        </w:rPr>
        <w:t>报到入学：交完费用的学员，请按通知时间报到，办理入学手续。学员将与经济学院签订</w:t>
      </w:r>
    </w:p>
    <w:p>
      <w:pPr>
        <w:pStyle w:val="3"/>
        <w:spacing w:line="371" w:lineRule="exact"/>
      </w:pPr>
      <w:r>
        <w:t>《北京大学社会招生非学历继续教育培训项目协议书》。</w:t>
      </w:r>
    </w:p>
    <w:p>
      <w:pPr>
        <w:pStyle w:val="3"/>
        <w:spacing w:before="4"/>
        <w:ind w:left="0"/>
        <w:rPr>
          <w:sz w:val="28"/>
        </w:rPr>
      </w:pPr>
    </w:p>
    <w:p>
      <w:pPr>
        <w:pStyle w:val="3"/>
        <w:spacing w:line="307" w:lineRule="auto"/>
        <w:ind w:right="2785"/>
      </w:pPr>
      <w:r>
        <w:t>地址：北京市海淀区颐和园路 5 号</w:t>
      </w:r>
      <w:r>
        <w:br w:type="textWrapping"/>
      </w:r>
      <w:r>
        <w:t>北京大学经济学院 118 室、119 室</w:t>
      </w:r>
      <w:r>
        <w:br w:type="textWrapping"/>
      </w:r>
      <w:r>
        <w:t>邮编：100871.</w:t>
      </w:r>
    </w:p>
    <w:p>
      <w:pPr>
        <w:pStyle w:val="3"/>
        <w:spacing w:line="307" w:lineRule="auto"/>
        <w:ind w:right="2785"/>
        <w:rPr>
          <w:rFonts w:hint="eastAsia"/>
          <w:lang w:val="en-US" w:eastAsia="zh-CN"/>
        </w:rPr>
      </w:pPr>
      <w:r>
        <w:rPr>
          <w:rFonts w:hint="eastAsia"/>
          <w:lang w:val="en-US" w:eastAsia="zh-CN"/>
        </w:rPr>
        <w:t xml:space="preserve">电话：13488823518、/13488893598 </w:t>
      </w:r>
    </w:p>
    <w:p>
      <w:pPr>
        <w:pStyle w:val="3"/>
        <w:spacing w:line="307" w:lineRule="auto"/>
        <w:ind w:right="2785"/>
        <w:rPr>
          <w:rFonts w:hint="eastAsia"/>
          <w:lang w:val="en-US" w:eastAsia="zh-CN"/>
        </w:rPr>
      </w:pPr>
      <w:r>
        <w:rPr>
          <w:rFonts w:hint="eastAsia"/>
          <w:lang w:val="en-US" w:eastAsia="zh-CN"/>
        </w:rPr>
        <w:t>联系人：刘老师 王老师</w:t>
      </w:r>
    </w:p>
    <w:p>
      <w:pPr>
        <w:pStyle w:val="3"/>
        <w:spacing w:line="307" w:lineRule="auto"/>
        <w:ind w:right="2785"/>
        <w:rPr>
          <w:rFonts w:hint="eastAsia"/>
          <w:lang w:val="en-US" w:eastAsia="zh-CN"/>
        </w:rPr>
      </w:pPr>
      <w:r>
        <w:rPr>
          <w:rFonts w:hint="eastAsia"/>
          <w:lang w:val="en-US" w:eastAsia="zh-CN"/>
        </w:rPr>
        <w:t>邮箱：</w:t>
      </w:r>
      <w:r>
        <w:rPr>
          <w:rFonts w:hint="eastAsia"/>
          <w:lang w:val="en-US" w:eastAsia="zh-CN"/>
        </w:rPr>
        <w:fldChar w:fldCharType="begin"/>
      </w:r>
      <w:r>
        <w:rPr>
          <w:rFonts w:hint="eastAsia"/>
          <w:lang w:val="en-US" w:eastAsia="zh-CN"/>
        </w:rPr>
        <w:instrText xml:space="preserve"> HYPERLINK "mailto:liujingli818@163.com" </w:instrText>
      </w:r>
      <w:r>
        <w:rPr>
          <w:rFonts w:hint="eastAsia"/>
          <w:lang w:val="en-US" w:eastAsia="zh-CN"/>
        </w:rPr>
        <w:fldChar w:fldCharType="separate"/>
      </w:r>
      <w:r>
        <w:rPr>
          <w:rStyle w:val="6"/>
          <w:rFonts w:hint="eastAsia"/>
          <w:lang w:val="en-US" w:eastAsia="zh-CN"/>
        </w:rPr>
        <w:t>liujingli818@163.com</w:t>
      </w:r>
      <w:r>
        <w:rPr>
          <w:rFonts w:hint="eastAsia"/>
          <w:lang w:val="en-US" w:eastAsia="zh-CN"/>
        </w:rPr>
        <w:fldChar w:fldCharType="end"/>
      </w: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pStyle w:val="3"/>
        <w:spacing w:line="307" w:lineRule="auto"/>
        <w:ind w:right="2785"/>
        <w:rPr>
          <w:rFonts w:hint="default"/>
          <w:lang w:val="en-US" w:eastAsia="zh-CN"/>
        </w:rPr>
      </w:pPr>
    </w:p>
    <w:p>
      <w:pPr>
        <w:spacing w:before="49"/>
        <w:ind w:right="1597"/>
        <w:jc w:val="both"/>
        <w:rPr>
          <w:rFonts w:hint="default" w:eastAsia="宋体"/>
          <w:sz w:val="32"/>
          <w:szCs w:val="32"/>
          <w:lang w:val="en-US" w:eastAsia="zh-CN"/>
        </w:rPr>
      </w:pPr>
      <w:r>
        <w:rPr>
          <w:rFonts w:hint="eastAsia" w:ascii="宋体" w:eastAsia="宋体"/>
          <w:b/>
          <w:sz w:val="36"/>
        </w:rPr>
        <w:t>北京大学金融与投资（私募、基金）研修班</w:t>
      </w:r>
      <w:r>
        <w:rPr>
          <w:rFonts w:hint="eastAsia" w:ascii="宋体" w:eastAsia="宋体"/>
          <w:b/>
          <w:sz w:val="36"/>
          <w:lang w:val="en-US" w:eastAsia="zh-CN"/>
        </w:rPr>
        <w:t xml:space="preserve"> 申请表</w:t>
      </w:r>
    </w:p>
    <w:p>
      <w:pPr>
        <w:spacing w:before="156" w:beforeLines="50" w:after="78" w:afterLines="25"/>
        <w:rPr>
          <w:szCs w:val="21"/>
          <w:u w:val="single"/>
        </w:rPr>
      </w:pPr>
      <w:r>
        <w:rPr>
          <w:rFonts w:hint="eastAsia"/>
          <w:szCs w:val="21"/>
        </w:rPr>
        <w:t>以下信息仅用于录取审核工作，并为申请人保密，请详细填写。</w:t>
      </w:r>
    </w:p>
    <w:tbl>
      <w:tblPr>
        <w:tblStyle w:val="4"/>
        <w:tblW w:w="9618" w:type="dxa"/>
        <w:jc w:val="center"/>
        <w:tblLayout w:type="fixed"/>
        <w:tblCellMar>
          <w:top w:w="0" w:type="dxa"/>
          <w:left w:w="0" w:type="dxa"/>
          <w:bottom w:w="0" w:type="dxa"/>
          <w:right w:w="0" w:type="dxa"/>
        </w:tblCellMar>
      </w:tblPr>
      <w:tblGrid>
        <w:gridCol w:w="1317"/>
        <w:gridCol w:w="2082"/>
        <w:gridCol w:w="854"/>
        <w:gridCol w:w="83"/>
        <w:gridCol w:w="764"/>
        <w:gridCol w:w="145"/>
        <w:gridCol w:w="422"/>
        <w:gridCol w:w="426"/>
        <w:gridCol w:w="132"/>
        <w:gridCol w:w="12"/>
        <w:gridCol w:w="851"/>
        <w:gridCol w:w="401"/>
        <w:gridCol w:w="46"/>
        <w:gridCol w:w="545"/>
        <w:gridCol w:w="567"/>
        <w:gridCol w:w="971"/>
      </w:tblGrid>
      <w:tr>
        <w:tblPrEx>
          <w:tblCellMar>
            <w:top w:w="0" w:type="dxa"/>
            <w:left w:w="0" w:type="dxa"/>
            <w:bottom w:w="0" w:type="dxa"/>
            <w:right w:w="0" w:type="dxa"/>
          </w:tblCellMar>
        </w:tblPrEx>
        <w:trPr>
          <w:cantSplit/>
          <w:trHeight w:val="363" w:hRule="atLeast"/>
          <w:jc w:val="center"/>
        </w:trPr>
        <w:tc>
          <w:tcPr>
            <w:tcW w:w="9618" w:type="dxa"/>
            <w:gridSpan w:val="16"/>
            <w:tcBorders>
              <w:top w:val="single" w:color="auto" w:sz="12" w:space="0"/>
              <w:left w:val="single" w:color="auto" w:sz="12" w:space="0"/>
              <w:bottom w:val="single" w:color="auto" w:sz="12" w:space="0"/>
              <w:right w:val="single" w:color="auto" w:sz="12" w:space="0"/>
            </w:tcBorders>
            <w:noWrap w:val="0"/>
            <w:vAlign w:val="center"/>
          </w:tcPr>
          <w:p>
            <w:pPr>
              <w:rPr>
                <w:rFonts w:ascii="宋体" w:hAnsi="宋体"/>
                <w:sz w:val="24"/>
              </w:rPr>
            </w:pPr>
            <w:r>
              <w:rPr>
                <w:rFonts w:hint="eastAsia"/>
                <w:b/>
                <w:sz w:val="24"/>
              </w:rPr>
              <w:t>个人信息</w:t>
            </w:r>
          </w:p>
        </w:tc>
      </w:tr>
      <w:tr>
        <w:tblPrEx>
          <w:tblCellMar>
            <w:top w:w="0" w:type="dxa"/>
            <w:left w:w="0" w:type="dxa"/>
            <w:bottom w:w="0" w:type="dxa"/>
            <w:right w:w="0" w:type="dxa"/>
          </w:tblCellMar>
        </w:tblPrEx>
        <w:trPr>
          <w:cantSplit/>
          <w:trHeight w:val="495" w:hRule="atLeast"/>
          <w:jc w:val="center"/>
        </w:trPr>
        <w:tc>
          <w:tcPr>
            <w:tcW w:w="1317"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szCs w:val="21"/>
              </w:rPr>
              <w:t>姓</w:t>
            </w:r>
            <w:r>
              <w:rPr>
                <w:szCs w:val="21"/>
              </w:rPr>
              <w:t xml:space="preserve">    </w:t>
            </w:r>
            <w:r>
              <w:rPr>
                <w:rFonts w:hint="eastAsia"/>
                <w:szCs w:val="21"/>
              </w:rPr>
              <w:t>名</w:t>
            </w:r>
          </w:p>
        </w:tc>
        <w:tc>
          <w:tcPr>
            <w:tcW w:w="2082" w:type="dxa"/>
            <w:tcBorders>
              <w:top w:val="single" w:color="auto" w:sz="12" w:space="0"/>
              <w:left w:val="nil"/>
              <w:bottom w:val="single" w:color="auto" w:sz="4" w:space="0"/>
              <w:right w:val="single" w:color="auto" w:sz="4" w:space="0"/>
            </w:tcBorders>
            <w:noWrap w:val="0"/>
            <w:vAlign w:val="center"/>
          </w:tcPr>
          <w:p>
            <w:pPr>
              <w:jc w:val="center"/>
              <w:rPr>
                <w:rFonts w:ascii="宋体" w:hAnsi="宋体" w:eastAsia="宋体"/>
                <w:szCs w:val="21"/>
              </w:rPr>
            </w:pPr>
          </w:p>
        </w:tc>
        <w:tc>
          <w:tcPr>
            <w:tcW w:w="1701" w:type="dxa"/>
            <w:gridSpan w:val="3"/>
            <w:tcBorders>
              <w:top w:val="single" w:color="auto" w:sz="12" w:space="0"/>
              <w:left w:val="single" w:color="auto" w:sz="4" w:space="0"/>
              <w:bottom w:val="single" w:color="auto" w:sz="4" w:space="0"/>
              <w:right w:val="nil"/>
            </w:tcBorders>
            <w:noWrap w:val="0"/>
            <w:vAlign w:val="center"/>
          </w:tcPr>
          <w:p>
            <w:pPr>
              <w:jc w:val="center"/>
              <w:rPr>
                <w:rFonts w:ascii="宋体" w:hAnsi="宋体"/>
                <w:szCs w:val="21"/>
              </w:rPr>
            </w:pPr>
            <w:r>
              <w:rPr>
                <w:rFonts w:hint="eastAsia"/>
                <w:szCs w:val="21"/>
              </w:rPr>
              <w:t>性    别</w:t>
            </w:r>
          </w:p>
        </w:tc>
        <w:tc>
          <w:tcPr>
            <w:tcW w:w="2435" w:type="dxa"/>
            <w:gridSpan w:val="8"/>
            <w:tcBorders>
              <w:top w:val="single" w:color="auto" w:sz="12" w:space="0"/>
              <w:left w:val="single" w:color="auto" w:sz="4" w:space="0"/>
              <w:bottom w:val="single" w:color="auto" w:sz="4" w:space="0"/>
              <w:right w:val="nil"/>
            </w:tcBorders>
            <w:noWrap w:val="0"/>
            <w:vAlign w:val="center"/>
          </w:tcPr>
          <w:p>
            <w:pPr>
              <w:jc w:val="center"/>
              <w:rPr>
                <w:rFonts w:ascii="宋体" w:hAnsi="宋体" w:eastAsia="宋体"/>
                <w:szCs w:val="21"/>
              </w:rPr>
            </w:pPr>
          </w:p>
        </w:tc>
        <w:tc>
          <w:tcPr>
            <w:tcW w:w="2083" w:type="dxa"/>
            <w:gridSpan w:val="3"/>
            <w:vMerge w:val="restart"/>
            <w:tcBorders>
              <w:top w:val="single" w:color="auto" w:sz="12" w:space="0"/>
              <w:left w:val="single" w:color="auto" w:sz="4" w:space="0"/>
              <w:right w:val="single" w:color="auto" w:sz="12" w:space="0"/>
            </w:tcBorders>
            <w:noWrap w:val="0"/>
            <w:vAlign w:val="center"/>
          </w:tcPr>
          <w:p>
            <w:pPr>
              <w:jc w:val="center"/>
              <w:rPr>
                <w:rFonts w:ascii="宋体" w:hAnsi="宋体"/>
                <w:szCs w:val="21"/>
              </w:rPr>
            </w:pPr>
            <w:r>
              <w:rPr>
                <w:rFonts w:hint="eastAsia" w:ascii="宋体" w:hAnsi="宋体"/>
                <w:szCs w:val="21"/>
              </w:rPr>
              <w:t>照片（2寸）</w:t>
            </w:r>
          </w:p>
        </w:tc>
      </w:tr>
      <w:tr>
        <w:tblPrEx>
          <w:tblCellMar>
            <w:top w:w="0" w:type="dxa"/>
            <w:left w:w="0" w:type="dxa"/>
            <w:bottom w:w="0" w:type="dxa"/>
            <w:right w:w="0" w:type="dxa"/>
          </w:tblCellMar>
        </w:tblPrEx>
        <w:trPr>
          <w:cantSplit/>
          <w:trHeight w:val="478"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出生年月</w:t>
            </w:r>
          </w:p>
        </w:tc>
        <w:tc>
          <w:tcPr>
            <w:tcW w:w="2082" w:type="dxa"/>
            <w:tcBorders>
              <w:top w:val="nil"/>
              <w:left w:val="nil"/>
              <w:bottom w:val="single" w:color="auto" w:sz="4" w:space="0"/>
              <w:right w:val="single" w:color="auto" w:sz="4" w:space="0"/>
            </w:tcBorders>
            <w:noWrap w:val="0"/>
            <w:vAlign w:val="center"/>
          </w:tcPr>
          <w:p>
            <w:pPr>
              <w:pStyle w:val="10"/>
              <w:widowControl w:val="0"/>
              <w:pBdr>
                <w:left w:val="none" w:color="auto" w:sz="0" w:space="0"/>
                <w:right w:val="none" w:color="auto" w:sz="0" w:space="0"/>
              </w:pBdr>
              <w:spacing w:before="0" w:beforeAutospacing="0" w:after="0" w:afterAutospacing="0"/>
              <w:rPr>
                <w:rFonts w:eastAsia="宋体"/>
                <w:kern w:val="2"/>
                <w:sz w:val="21"/>
                <w:szCs w:val="21"/>
              </w:rPr>
            </w:pPr>
          </w:p>
        </w:tc>
        <w:tc>
          <w:tcPr>
            <w:tcW w:w="1701" w:type="dxa"/>
            <w:gridSpan w:val="3"/>
            <w:tcBorders>
              <w:top w:val="nil"/>
              <w:left w:val="single" w:color="auto" w:sz="4" w:space="0"/>
              <w:bottom w:val="single" w:color="auto" w:sz="4" w:space="0"/>
              <w:right w:val="nil"/>
            </w:tcBorders>
            <w:noWrap w:val="0"/>
            <w:vAlign w:val="center"/>
          </w:tcPr>
          <w:p>
            <w:pPr>
              <w:jc w:val="center"/>
              <w:rPr>
                <w:rFonts w:ascii="宋体" w:hAnsi="宋体"/>
                <w:szCs w:val="21"/>
              </w:rPr>
            </w:pPr>
            <w:r>
              <w:rPr>
                <w:rFonts w:hint="eastAsia"/>
                <w:szCs w:val="21"/>
              </w:rPr>
              <w:t>籍   贯</w:t>
            </w:r>
          </w:p>
        </w:tc>
        <w:tc>
          <w:tcPr>
            <w:tcW w:w="2435" w:type="dxa"/>
            <w:gridSpan w:val="8"/>
            <w:tcBorders>
              <w:top w:val="nil"/>
              <w:left w:val="single" w:color="auto" w:sz="4" w:space="0"/>
              <w:bottom w:val="single" w:color="auto" w:sz="4" w:space="0"/>
              <w:right w:val="nil"/>
            </w:tcBorders>
            <w:noWrap w:val="0"/>
            <w:vAlign w:val="center"/>
          </w:tcPr>
          <w:p>
            <w:pPr>
              <w:pStyle w:val="10"/>
              <w:widowControl w:val="0"/>
              <w:pBdr>
                <w:left w:val="none" w:color="auto" w:sz="0" w:space="0"/>
                <w:right w:val="none" w:color="auto" w:sz="0" w:space="0"/>
              </w:pBdr>
              <w:spacing w:before="0" w:beforeAutospacing="0" w:after="0" w:afterAutospacing="0"/>
              <w:rPr>
                <w:kern w:val="2"/>
                <w:sz w:val="21"/>
                <w:szCs w:val="21"/>
              </w:rPr>
            </w:pPr>
          </w:p>
        </w:tc>
        <w:tc>
          <w:tcPr>
            <w:tcW w:w="2083" w:type="dxa"/>
            <w:gridSpan w:val="3"/>
            <w:vMerge w:val="continue"/>
            <w:tcBorders>
              <w:left w:val="single" w:color="auto" w:sz="4" w:space="0"/>
              <w:right w:val="single" w:color="auto" w:sz="12" w:space="0"/>
            </w:tcBorders>
            <w:noWrap w:val="0"/>
            <w:vAlign w:val="center"/>
          </w:tcPr>
          <w:p>
            <w:pPr>
              <w:jc w:val="center"/>
              <w:rPr>
                <w:rFonts w:ascii="宋体" w:hAnsi="宋体"/>
                <w:szCs w:val="21"/>
              </w:rPr>
            </w:pPr>
          </w:p>
        </w:tc>
      </w:tr>
      <w:tr>
        <w:tblPrEx>
          <w:tblCellMar>
            <w:top w:w="0" w:type="dxa"/>
            <w:left w:w="0" w:type="dxa"/>
            <w:bottom w:w="0" w:type="dxa"/>
            <w:right w:w="0" w:type="dxa"/>
          </w:tblCellMar>
        </w:tblPrEx>
        <w:trPr>
          <w:cantSplit/>
          <w:trHeight w:val="503"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szCs w:val="21"/>
              </w:rPr>
            </w:pPr>
            <w:r>
              <w:rPr>
                <w:rFonts w:hint="eastAsia"/>
                <w:szCs w:val="21"/>
              </w:rPr>
              <w:t>最高学历</w:t>
            </w:r>
          </w:p>
        </w:tc>
        <w:tc>
          <w:tcPr>
            <w:tcW w:w="2082" w:type="dxa"/>
            <w:tcBorders>
              <w:top w:val="nil"/>
              <w:left w:val="nil"/>
              <w:bottom w:val="single" w:color="auto" w:sz="4" w:space="0"/>
              <w:right w:val="single" w:color="auto" w:sz="4" w:space="0"/>
            </w:tcBorders>
            <w:noWrap w:val="0"/>
            <w:vAlign w:val="center"/>
          </w:tcPr>
          <w:p>
            <w:pPr>
              <w:jc w:val="center"/>
              <w:rPr>
                <w:rFonts w:eastAsia="宋体"/>
                <w:szCs w:val="21"/>
              </w:rPr>
            </w:pPr>
          </w:p>
        </w:tc>
        <w:tc>
          <w:tcPr>
            <w:tcW w:w="1701" w:type="dxa"/>
            <w:gridSpan w:val="3"/>
            <w:tcBorders>
              <w:top w:val="nil"/>
              <w:left w:val="single" w:color="auto" w:sz="4" w:space="0"/>
              <w:bottom w:val="single" w:color="auto" w:sz="4" w:space="0"/>
              <w:right w:val="nil"/>
            </w:tcBorders>
            <w:noWrap w:val="0"/>
            <w:vAlign w:val="center"/>
          </w:tcPr>
          <w:p>
            <w:pPr>
              <w:jc w:val="center"/>
              <w:rPr>
                <w:szCs w:val="21"/>
              </w:rPr>
            </w:pPr>
            <w:r>
              <w:rPr>
                <w:rFonts w:hint="eastAsia"/>
                <w:szCs w:val="21"/>
              </w:rPr>
              <w:t>专   业</w:t>
            </w:r>
          </w:p>
        </w:tc>
        <w:tc>
          <w:tcPr>
            <w:tcW w:w="2435" w:type="dxa"/>
            <w:gridSpan w:val="8"/>
            <w:tcBorders>
              <w:top w:val="nil"/>
              <w:left w:val="single" w:color="auto" w:sz="4" w:space="0"/>
              <w:bottom w:val="single" w:color="auto" w:sz="4" w:space="0"/>
              <w:right w:val="nil"/>
            </w:tcBorders>
            <w:noWrap w:val="0"/>
            <w:vAlign w:val="center"/>
          </w:tcPr>
          <w:p>
            <w:pPr>
              <w:jc w:val="center"/>
              <w:rPr>
                <w:rFonts w:eastAsia="宋体"/>
                <w:szCs w:val="21"/>
              </w:rPr>
            </w:pPr>
          </w:p>
        </w:tc>
        <w:tc>
          <w:tcPr>
            <w:tcW w:w="2083" w:type="dxa"/>
            <w:gridSpan w:val="3"/>
            <w:vMerge w:val="continue"/>
            <w:tcBorders>
              <w:left w:val="single" w:color="auto" w:sz="4" w:space="0"/>
              <w:right w:val="single" w:color="auto" w:sz="12" w:space="0"/>
            </w:tcBorders>
            <w:noWrap w:val="0"/>
            <w:vAlign w:val="center"/>
          </w:tcPr>
          <w:p>
            <w:pPr>
              <w:jc w:val="center"/>
              <w:rPr>
                <w:szCs w:val="21"/>
              </w:rPr>
            </w:pPr>
          </w:p>
        </w:tc>
      </w:tr>
      <w:tr>
        <w:tblPrEx>
          <w:tblCellMar>
            <w:top w:w="0" w:type="dxa"/>
            <w:left w:w="0" w:type="dxa"/>
            <w:bottom w:w="0" w:type="dxa"/>
            <w:right w:w="0" w:type="dxa"/>
          </w:tblCellMar>
        </w:tblPrEx>
        <w:trPr>
          <w:cantSplit/>
          <w:trHeight w:val="491"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移动电话</w:t>
            </w:r>
          </w:p>
        </w:tc>
        <w:tc>
          <w:tcPr>
            <w:tcW w:w="2082" w:type="dxa"/>
            <w:tcBorders>
              <w:top w:val="single" w:color="auto" w:sz="4" w:space="0"/>
              <w:left w:val="single" w:color="auto" w:sz="4" w:space="0"/>
              <w:bottom w:val="single" w:color="auto" w:sz="4" w:space="0"/>
              <w:right w:val="nil"/>
            </w:tcBorders>
            <w:noWrap w:val="0"/>
            <w:vAlign w:val="center"/>
          </w:tcPr>
          <w:p>
            <w:pPr>
              <w:rPr>
                <w:rFonts w:eastAsia="宋体"/>
                <w:szCs w:val="21"/>
              </w:rPr>
            </w:pPr>
          </w:p>
        </w:tc>
        <w:tc>
          <w:tcPr>
            <w:tcW w:w="1701" w:type="dxa"/>
            <w:gridSpan w:val="3"/>
            <w:tcBorders>
              <w:top w:val="single" w:color="auto" w:sz="4" w:space="0"/>
              <w:left w:val="single" w:color="auto" w:sz="4" w:space="0"/>
              <w:bottom w:val="single" w:color="auto" w:sz="4" w:space="0"/>
              <w:right w:val="nil"/>
            </w:tcBorders>
            <w:noWrap w:val="0"/>
            <w:vAlign w:val="center"/>
          </w:tcPr>
          <w:p>
            <w:pPr>
              <w:jc w:val="center"/>
              <w:rPr>
                <w:szCs w:val="21"/>
              </w:rPr>
            </w:pPr>
            <w:r>
              <w:rPr>
                <w:rFonts w:hint="eastAsia"/>
                <w:szCs w:val="21"/>
              </w:rPr>
              <w:t>电子邮件</w:t>
            </w:r>
          </w:p>
        </w:tc>
        <w:tc>
          <w:tcPr>
            <w:tcW w:w="2435"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szCs w:val="21"/>
              </w:rPr>
            </w:pPr>
          </w:p>
        </w:tc>
        <w:tc>
          <w:tcPr>
            <w:tcW w:w="2083" w:type="dxa"/>
            <w:gridSpan w:val="3"/>
            <w:vMerge w:val="continue"/>
            <w:tcBorders>
              <w:left w:val="single" w:color="auto" w:sz="4" w:space="0"/>
              <w:right w:val="single" w:color="auto" w:sz="12" w:space="0"/>
            </w:tcBorders>
            <w:noWrap w:val="0"/>
            <w:vAlign w:val="center"/>
          </w:tcPr>
          <w:p>
            <w:pPr>
              <w:jc w:val="center"/>
              <w:rPr>
                <w:szCs w:val="21"/>
              </w:rPr>
            </w:pPr>
          </w:p>
        </w:tc>
      </w:tr>
      <w:tr>
        <w:tblPrEx>
          <w:tblCellMar>
            <w:top w:w="0" w:type="dxa"/>
            <w:left w:w="0" w:type="dxa"/>
            <w:bottom w:w="0" w:type="dxa"/>
            <w:right w:w="0" w:type="dxa"/>
          </w:tblCellMar>
        </w:tblPrEx>
        <w:trPr>
          <w:cantSplit/>
          <w:trHeight w:val="472" w:hRule="atLeast"/>
          <w:jc w:val="center"/>
        </w:trPr>
        <w:tc>
          <w:tcPr>
            <w:tcW w:w="1317" w:type="dxa"/>
            <w:tcBorders>
              <w:top w:val="single" w:color="auto" w:sz="12" w:space="0"/>
              <w:left w:val="single" w:color="auto" w:sz="12" w:space="0"/>
              <w:right w:val="single" w:color="auto" w:sz="4" w:space="0"/>
            </w:tcBorders>
            <w:noWrap w:val="0"/>
            <w:vAlign w:val="center"/>
          </w:tcPr>
          <w:p>
            <w:pPr>
              <w:jc w:val="center"/>
              <w:rPr>
                <w:b/>
                <w:sz w:val="24"/>
              </w:rPr>
            </w:pPr>
            <w:r>
              <w:rPr>
                <w:rFonts w:hint="eastAsia"/>
                <w:b/>
                <w:sz w:val="24"/>
              </w:rPr>
              <w:t>身份证号码</w:t>
            </w:r>
          </w:p>
        </w:tc>
        <w:tc>
          <w:tcPr>
            <w:tcW w:w="8301" w:type="dxa"/>
            <w:gridSpan w:val="15"/>
            <w:tcBorders>
              <w:top w:val="single" w:color="auto" w:sz="12" w:space="0"/>
              <w:left w:val="single" w:color="auto" w:sz="4" w:space="0"/>
              <w:bottom w:val="single" w:color="auto" w:sz="4" w:space="0"/>
              <w:right w:val="single" w:color="auto" w:sz="12" w:space="0"/>
            </w:tcBorders>
            <w:noWrap w:val="0"/>
            <w:vAlign w:val="center"/>
          </w:tcPr>
          <w:p>
            <w:pPr>
              <w:rPr>
                <w:rFonts w:eastAsia="宋体"/>
                <w:b/>
                <w:sz w:val="24"/>
              </w:rPr>
            </w:pPr>
          </w:p>
        </w:tc>
      </w:tr>
      <w:tr>
        <w:tblPrEx>
          <w:tblCellMar>
            <w:top w:w="0" w:type="dxa"/>
            <w:left w:w="0" w:type="dxa"/>
            <w:bottom w:w="0" w:type="dxa"/>
            <w:right w:w="0" w:type="dxa"/>
          </w:tblCellMar>
        </w:tblPrEx>
        <w:trPr>
          <w:cantSplit/>
          <w:trHeight w:val="611" w:hRule="atLeast"/>
          <w:jc w:val="center"/>
        </w:trPr>
        <w:tc>
          <w:tcPr>
            <w:tcW w:w="1317" w:type="dxa"/>
            <w:vMerge w:val="restart"/>
            <w:tcBorders>
              <w:top w:val="single" w:color="auto" w:sz="12" w:space="0"/>
              <w:left w:val="single" w:color="auto" w:sz="12" w:space="0"/>
              <w:right w:val="single" w:color="auto" w:sz="4" w:space="0"/>
            </w:tcBorders>
            <w:noWrap w:val="0"/>
            <w:vAlign w:val="center"/>
          </w:tcPr>
          <w:p>
            <w:pPr>
              <w:jc w:val="center"/>
              <w:rPr>
                <w:rFonts w:ascii="宋体" w:hAnsi="宋体"/>
                <w:sz w:val="24"/>
              </w:rPr>
            </w:pPr>
            <w:r>
              <w:rPr>
                <w:rFonts w:hint="eastAsia"/>
                <w:b/>
                <w:sz w:val="24"/>
              </w:rPr>
              <w:t>工作经历</w:t>
            </w:r>
          </w:p>
        </w:tc>
        <w:tc>
          <w:tcPr>
            <w:tcW w:w="2082" w:type="dxa"/>
            <w:tcBorders>
              <w:top w:val="single" w:color="auto" w:sz="12" w:space="0"/>
              <w:left w:val="single" w:color="auto" w:sz="4" w:space="0"/>
              <w:bottom w:val="single" w:color="auto" w:sz="4" w:space="0"/>
              <w:right w:val="single" w:color="auto" w:sz="4" w:space="0"/>
            </w:tcBorders>
            <w:noWrap w:val="0"/>
            <w:vAlign w:val="center"/>
          </w:tcPr>
          <w:p>
            <w:pPr>
              <w:jc w:val="center"/>
              <w:rPr>
                <w:b/>
                <w:sz w:val="24"/>
              </w:rPr>
            </w:pPr>
            <w:r>
              <w:rPr>
                <w:rFonts w:hint="eastAsia"/>
                <w:b/>
                <w:sz w:val="24"/>
              </w:rPr>
              <w:t>时间</w:t>
            </w:r>
          </w:p>
        </w:tc>
        <w:tc>
          <w:tcPr>
            <w:tcW w:w="2694" w:type="dxa"/>
            <w:gridSpan w:val="6"/>
            <w:tcBorders>
              <w:top w:val="single" w:color="auto" w:sz="12" w:space="0"/>
              <w:left w:val="single" w:color="auto" w:sz="4" w:space="0"/>
              <w:bottom w:val="single" w:color="auto" w:sz="4" w:space="0"/>
              <w:right w:val="single" w:color="auto" w:sz="4" w:space="0"/>
            </w:tcBorders>
            <w:noWrap w:val="0"/>
            <w:vAlign w:val="center"/>
          </w:tcPr>
          <w:p>
            <w:pPr>
              <w:jc w:val="center"/>
              <w:rPr>
                <w:rFonts w:ascii="宋体" w:hAnsi="宋体"/>
                <w:sz w:val="24"/>
              </w:rPr>
            </w:pPr>
            <w:r>
              <w:rPr>
                <w:rFonts w:hint="eastAsia"/>
                <w:b/>
                <w:sz w:val="24"/>
              </w:rPr>
              <w:t>单位</w:t>
            </w:r>
          </w:p>
        </w:tc>
        <w:tc>
          <w:tcPr>
            <w:tcW w:w="3525" w:type="dxa"/>
            <w:gridSpan w:val="8"/>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sz w:val="24"/>
              </w:rPr>
            </w:pPr>
            <w:r>
              <w:rPr>
                <w:rFonts w:hint="eastAsia"/>
                <w:b/>
                <w:sz w:val="24"/>
              </w:rPr>
              <w:t>主要经历（职务）</w:t>
            </w:r>
          </w:p>
        </w:tc>
      </w:tr>
      <w:tr>
        <w:tblPrEx>
          <w:tblCellMar>
            <w:top w:w="0" w:type="dxa"/>
            <w:left w:w="0" w:type="dxa"/>
            <w:bottom w:w="0" w:type="dxa"/>
            <w:right w:w="0" w:type="dxa"/>
          </w:tblCellMar>
        </w:tblPrEx>
        <w:trPr>
          <w:cantSplit/>
          <w:trHeight w:val="465" w:hRule="atLeast"/>
          <w:jc w:val="center"/>
        </w:trPr>
        <w:tc>
          <w:tcPr>
            <w:tcW w:w="1317" w:type="dxa"/>
            <w:vMerge w:val="continue"/>
            <w:tcBorders>
              <w:left w:val="single" w:color="auto" w:sz="12" w:space="0"/>
              <w:right w:val="single" w:color="auto" w:sz="4" w:space="0"/>
            </w:tcBorders>
            <w:noWrap w:val="0"/>
            <w:vAlign w:val="center"/>
          </w:tcPr>
          <w:p>
            <w:pPr>
              <w:rPr>
                <w:b/>
                <w:sz w:val="24"/>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269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3525" w:type="dxa"/>
            <w:gridSpan w:val="8"/>
            <w:tcBorders>
              <w:top w:val="single" w:color="auto" w:sz="4" w:space="0"/>
              <w:left w:val="single" w:color="auto" w:sz="4" w:space="0"/>
              <w:bottom w:val="single" w:color="auto" w:sz="4" w:space="0"/>
              <w:right w:val="single" w:color="auto" w:sz="12" w:space="0"/>
            </w:tcBorders>
            <w:noWrap w:val="0"/>
            <w:vAlign w:val="center"/>
          </w:tcPr>
          <w:p>
            <w:pPr>
              <w:rPr>
                <w:rFonts w:ascii="宋体" w:hAnsi="宋体"/>
                <w:sz w:val="24"/>
              </w:rPr>
            </w:pPr>
          </w:p>
        </w:tc>
      </w:tr>
      <w:tr>
        <w:tblPrEx>
          <w:tblCellMar>
            <w:top w:w="0" w:type="dxa"/>
            <w:left w:w="0" w:type="dxa"/>
            <w:bottom w:w="0" w:type="dxa"/>
            <w:right w:w="0" w:type="dxa"/>
          </w:tblCellMar>
        </w:tblPrEx>
        <w:trPr>
          <w:cantSplit/>
          <w:trHeight w:val="465" w:hRule="atLeast"/>
          <w:jc w:val="center"/>
        </w:trPr>
        <w:tc>
          <w:tcPr>
            <w:tcW w:w="1317" w:type="dxa"/>
            <w:vMerge w:val="continue"/>
            <w:tcBorders>
              <w:left w:val="single" w:color="auto" w:sz="12" w:space="0"/>
              <w:right w:val="single" w:color="auto" w:sz="4" w:space="0"/>
            </w:tcBorders>
            <w:noWrap w:val="0"/>
            <w:vAlign w:val="center"/>
          </w:tcPr>
          <w:p>
            <w:pPr>
              <w:rPr>
                <w:b/>
                <w:sz w:val="24"/>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269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3525" w:type="dxa"/>
            <w:gridSpan w:val="8"/>
            <w:tcBorders>
              <w:top w:val="single" w:color="auto" w:sz="4" w:space="0"/>
              <w:left w:val="single" w:color="auto" w:sz="4" w:space="0"/>
              <w:bottom w:val="single" w:color="auto" w:sz="4" w:space="0"/>
              <w:right w:val="single" w:color="auto" w:sz="12" w:space="0"/>
            </w:tcBorders>
            <w:noWrap w:val="0"/>
            <w:vAlign w:val="center"/>
          </w:tcPr>
          <w:p>
            <w:pPr>
              <w:rPr>
                <w:rFonts w:ascii="宋体" w:hAnsi="宋体"/>
                <w:sz w:val="24"/>
              </w:rPr>
            </w:pPr>
          </w:p>
        </w:tc>
      </w:tr>
      <w:tr>
        <w:tblPrEx>
          <w:tblCellMar>
            <w:top w:w="0" w:type="dxa"/>
            <w:left w:w="0" w:type="dxa"/>
            <w:bottom w:w="0" w:type="dxa"/>
            <w:right w:w="0" w:type="dxa"/>
          </w:tblCellMar>
        </w:tblPrEx>
        <w:trPr>
          <w:cantSplit/>
          <w:trHeight w:val="465" w:hRule="atLeast"/>
          <w:jc w:val="center"/>
        </w:trPr>
        <w:tc>
          <w:tcPr>
            <w:tcW w:w="1317" w:type="dxa"/>
            <w:vMerge w:val="continue"/>
            <w:tcBorders>
              <w:left w:val="single" w:color="auto" w:sz="12" w:space="0"/>
              <w:right w:val="single" w:color="auto" w:sz="4" w:space="0"/>
            </w:tcBorders>
            <w:noWrap w:val="0"/>
            <w:vAlign w:val="center"/>
          </w:tcPr>
          <w:p>
            <w:pPr>
              <w:rPr>
                <w:b/>
                <w:sz w:val="24"/>
              </w:rPr>
            </w:pPr>
          </w:p>
        </w:tc>
        <w:tc>
          <w:tcPr>
            <w:tcW w:w="2082"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2694"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 w:val="24"/>
              </w:rPr>
            </w:pPr>
          </w:p>
        </w:tc>
        <w:tc>
          <w:tcPr>
            <w:tcW w:w="3525" w:type="dxa"/>
            <w:gridSpan w:val="8"/>
            <w:tcBorders>
              <w:top w:val="single" w:color="auto" w:sz="4" w:space="0"/>
              <w:left w:val="single" w:color="auto" w:sz="4" w:space="0"/>
              <w:bottom w:val="single" w:color="auto" w:sz="4" w:space="0"/>
              <w:right w:val="single" w:color="auto" w:sz="12" w:space="0"/>
            </w:tcBorders>
            <w:noWrap w:val="0"/>
            <w:vAlign w:val="center"/>
          </w:tcPr>
          <w:p>
            <w:pPr>
              <w:rPr>
                <w:rFonts w:ascii="宋体" w:hAnsi="宋体"/>
                <w:sz w:val="24"/>
              </w:rPr>
            </w:pPr>
          </w:p>
        </w:tc>
      </w:tr>
      <w:tr>
        <w:tblPrEx>
          <w:tblCellMar>
            <w:top w:w="0" w:type="dxa"/>
            <w:left w:w="0" w:type="dxa"/>
            <w:bottom w:w="0" w:type="dxa"/>
            <w:right w:w="0" w:type="dxa"/>
          </w:tblCellMar>
        </w:tblPrEx>
        <w:trPr>
          <w:cantSplit/>
          <w:trHeight w:val="421" w:hRule="atLeast"/>
          <w:jc w:val="center"/>
        </w:trPr>
        <w:tc>
          <w:tcPr>
            <w:tcW w:w="9618" w:type="dxa"/>
            <w:gridSpan w:val="16"/>
            <w:tcBorders>
              <w:top w:val="single" w:color="auto" w:sz="4" w:space="0"/>
              <w:left w:val="single" w:color="auto" w:sz="12" w:space="0"/>
              <w:bottom w:val="single" w:color="auto" w:sz="12" w:space="0"/>
              <w:right w:val="single" w:color="auto" w:sz="12" w:space="0"/>
            </w:tcBorders>
            <w:noWrap w:val="0"/>
            <w:vAlign w:val="center"/>
          </w:tcPr>
          <w:p>
            <w:pPr>
              <w:rPr>
                <w:rFonts w:ascii="宋体" w:hAnsi="宋体"/>
                <w:sz w:val="24"/>
              </w:rPr>
            </w:pPr>
            <w:r>
              <w:rPr>
                <w:rFonts w:hint="eastAsia"/>
                <w:b/>
                <w:sz w:val="24"/>
              </w:rPr>
              <w:t>公司信息</w:t>
            </w:r>
          </w:p>
        </w:tc>
      </w:tr>
      <w:tr>
        <w:tblPrEx>
          <w:tblCellMar>
            <w:top w:w="0" w:type="dxa"/>
            <w:left w:w="0" w:type="dxa"/>
            <w:bottom w:w="0" w:type="dxa"/>
            <w:right w:w="0" w:type="dxa"/>
          </w:tblCellMar>
        </w:tblPrEx>
        <w:trPr>
          <w:trHeight w:val="520" w:hRule="atLeast"/>
          <w:jc w:val="center"/>
        </w:trPr>
        <w:tc>
          <w:tcPr>
            <w:tcW w:w="1317" w:type="dxa"/>
            <w:tcBorders>
              <w:top w:val="single" w:color="auto" w:sz="12" w:space="0"/>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szCs w:val="21"/>
              </w:rPr>
              <w:t>公司名称</w:t>
            </w:r>
          </w:p>
        </w:tc>
        <w:tc>
          <w:tcPr>
            <w:tcW w:w="3019" w:type="dxa"/>
            <w:gridSpan w:val="3"/>
            <w:tcBorders>
              <w:top w:val="single" w:color="auto" w:sz="12" w:space="0"/>
              <w:left w:val="nil"/>
              <w:bottom w:val="single" w:color="auto" w:sz="4" w:space="0"/>
              <w:right w:val="single" w:color="auto" w:sz="4" w:space="0"/>
            </w:tcBorders>
            <w:noWrap w:val="0"/>
            <w:vAlign w:val="center"/>
          </w:tcPr>
          <w:p>
            <w:pPr>
              <w:jc w:val="center"/>
              <w:rPr>
                <w:rFonts w:ascii="宋体" w:hAnsi="宋体" w:eastAsia="宋体"/>
                <w:sz w:val="24"/>
              </w:rPr>
            </w:pPr>
          </w:p>
        </w:tc>
        <w:tc>
          <w:tcPr>
            <w:tcW w:w="1331"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职    务</w:t>
            </w:r>
          </w:p>
        </w:tc>
        <w:tc>
          <w:tcPr>
            <w:tcW w:w="3951" w:type="dxa"/>
            <w:gridSpan w:val="9"/>
            <w:tcBorders>
              <w:top w:val="single" w:color="auto" w:sz="12" w:space="0"/>
              <w:left w:val="single" w:color="auto" w:sz="4" w:space="0"/>
              <w:bottom w:val="single" w:color="auto" w:sz="4" w:space="0"/>
              <w:right w:val="single" w:color="auto" w:sz="12" w:space="0"/>
            </w:tcBorders>
            <w:noWrap w:val="0"/>
            <w:vAlign w:val="center"/>
          </w:tcPr>
          <w:p>
            <w:pPr>
              <w:jc w:val="center"/>
              <w:rPr>
                <w:rFonts w:ascii="宋体" w:hAnsi="宋体" w:eastAsia="宋体"/>
                <w:sz w:val="24"/>
              </w:rPr>
            </w:pPr>
            <w:r>
              <w:rPr>
                <w:rFonts w:hint="eastAsia" w:ascii="宋体" w:hAnsi="宋体"/>
                <w:sz w:val="24"/>
              </w:rPr>
              <w:t>董事</w:t>
            </w:r>
          </w:p>
        </w:tc>
      </w:tr>
      <w:tr>
        <w:tblPrEx>
          <w:tblCellMar>
            <w:top w:w="0" w:type="dxa"/>
            <w:left w:w="0" w:type="dxa"/>
            <w:bottom w:w="0" w:type="dxa"/>
            <w:right w:w="0" w:type="dxa"/>
          </w:tblCellMar>
        </w:tblPrEx>
        <w:trPr>
          <w:trHeight w:val="523"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rFonts w:ascii="宋体" w:hAnsi="宋体"/>
                <w:szCs w:val="21"/>
              </w:rPr>
            </w:pPr>
            <w:r>
              <w:rPr>
                <w:rFonts w:hint="eastAsia"/>
                <w:szCs w:val="21"/>
              </w:rPr>
              <w:t>公司电话</w:t>
            </w:r>
          </w:p>
        </w:tc>
        <w:tc>
          <w:tcPr>
            <w:tcW w:w="3019" w:type="dxa"/>
            <w:gridSpan w:val="3"/>
            <w:tcBorders>
              <w:top w:val="nil"/>
              <w:left w:val="nil"/>
              <w:bottom w:val="single" w:color="auto" w:sz="4" w:space="0"/>
              <w:right w:val="nil"/>
            </w:tcBorders>
            <w:noWrap w:val="0"/>
            <w:vAlign w:val="center"/>
          </w:tcPr>
          <w:p>
            <w:pPr>
              <w:jc w:val="center"/>
              <w:rPr>
                <w:rFonts w:ascii="宋体" w:hAnsi="宋体" w:eastAsia="宋体"/>
                <w:sz w:val="24"/>
              </w:rPr>
            </w:pPr>
          </w:p>
        </w:tc>
        <w:tc>
          <w:tcPr>
            <w:tcW w:w="1331" w:type="dxa"/>
            <w:gridSpan w:val="3"/>
            <w:tcBorders>
              <w:top w:val="nil"/>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szCs w:val="21"/>
              </w:rPr>
              <w:t>网    址</w:t>
            </w:r>
          </w:p>
        </w:tc>
        <w:tc>
          <w:tcPr>
            <w:tcW w:w="3951" w:type="dxa"/>
            <w:gridSpan w:val="9"/>
            <w:tcBorders>
              <w:top w:val="nil"/>
              <w:left w:val="nil"/>
              <w:bottom w:val="single" w:color="auto" w:sz="4" w:space="0"/>
              <w:right w:val="single" w:color="auto" w:sz="12" w:space="0"/>
            </w:tcBorders>
            <w:noWrap w:val="0"/>
            <w:vAlign w:val="center"/>
          </w:tcPr>
          <w:p>
            <w:pPr>
              <w:jc w:val="center"/>
              <w:rPr>
                <w:rFonts w:ascii="宋体" w:hAnsi="宋体"/>
                <w:sz w:val="24"/>
              </w:rPr>
            </w:pPr>
          </w:p>
        </w:tc>
      </w:tr>
      <w:tr>
        <w:tblPrEx>
          <w:tblCellMar>
            <w:top w:w="0" w:type="dxa"/>
            <w:left w:w="0" w:type="dxa"/>
            <w:bottom w:w="0" w:type="dxa"/>
            <w:right w:w="0" w:type="dxa"/>
          </w:tblCellMar>
        </w:tblPrEx>
        <w:trPr>
          <w:trHeight w:val="364" w:hRule="atLeast"/>
          <w:jc w:val="center"/>
        </w:trPr>
        <w:tc>
          <w:tcPr>
            <w:tcW w:w="1317" w:type="dxa"/>
            <w:tcBorders>
              <w:top w:val="nil"/>
              <w:left w:val="single" w:color="auto" w:sz="12" w:space="0"/>
              <w:bottom w:val="single" w:color="auto" w:sz="4" w:space="0"/>
              <w:right w:val="single" w:color="auto" w:sz="4" w:space="0"/>
            </w:tcBorders>
            <w:noWrap w:val="0"/>
            <w:vAlign w:val="center"/>
          </w:tcPr>
          <w:p>
            <w:pPr>
              <w:jc w:val="center"/>
              <w:rPr>
                <w:szCs w:val="21"/>
              </w:rPr>
            </w:pPr>
            <w:r>
              <w:rPr>
                <w:rFonts w:hint="eastAsia"/>
                <w:szCs w:val="21"/>
              </w:rPr>
              <w:t>通信地址</w:t>
            </w:r>
          </w:p>
        </w:tc>
        <w:tc>
          <w:tcPr>
            <w:tcW w:w="4908" w:type="dxa"/>
            <w:gridSpan w:val="8"/>
            <w:tcBorders>
              <w:top w:val="nil"/>
              <w:left w:val="nil"/>
              <w:bottom w:val="single" w:color="auto" w:sz="4" w:space="0"/>
              <w:right w:val="single" w:color="auto" w:sz="4" w:space="0"/>
            </w:tcBorders>
            <w:noWrap w:val="0"/>
            <w:vAlign w:val="center"/>
          </w:tcPr>
          <w:p>
            <w:pPr>
              <w:jc w:val="center"/>
              <w:rPr>
                <w:rFonts w:ascii="宋体" w:hAnsi="宋体"/>
                <w:sz w:val="24"/>
              </w:rPr>
            </w:pPr>
          </w:p>
        </w:tc>
        <w:tc>
          <w:tcPr>
            <w:tcW w:w="1264" w:type="dxa"/>
            <w:gridSpan w:val="3"/>
            <w:tcBorders>
              <w:top w:val="nil"/>
              <w:left w:val="nil"/>
              <w:bottom w:val="single" w:color="auto" w:sz="4" w:space="0"/>
              <w:right w:val="single" w:color="auto" w:sz="4" w:space="0"/>
            </w:tcBorders>
            <w:noWrap w:val="0"/>
            <w:vAlign w:val="center"/>
          </w:tcPr>
          <w:p>
            <w:pPr>
              <w:jc w:val="center"/>
              <w:rPr>
                <w:rFonts w:ascii="宋体" w:hAnsi="宋体"/>
                <w:sz w:val="24"/>
              </w:rPr>
            </w:pPr>
            <w:r>
              <w:rPr>
                <w:rFonts w:hint="eastAsia"/>
                <w:szCs w:val="21"/>
              </w:rPr>
              <w:t>邮    编</w:t>
            </w:r>
          </w:p>
        </w:tc>
        <w:tc>
          <w:tcPr>
            <w:tcW w:w="2129" w:type="dxa"/>
            <w:gridSpan w:val="4"/>
            <w:tcBorders>
              <w:top w:val="nil"/>
              <w:left w:val="single" w:color="auto" w:sz="4" w:space="0"/>
              <w:bottom w:val="single" w:color="auto" w:sz="4" w:space="0"/>
              <w:right w:val="single" w:color="auto" w:sz="12" w:space="0"/>
            </w:tcBorders>
            <w:noWrap w:val="0"/>
            <w:vAlign w:val="center"/>
          </w:tcPr>
          <w:p>
            <w:pPr>
              <w:jc w:val="center"/>
              <w:rPr>
                <w:rFonts w:ascii="宋体" w:hAnsi="宋体"/>
                <w:sz w:val="24"/>
              </w:rPr>
            </w:pPr>
          </w:p>
        </w:tc>
      </w:tr>
      <w:tr>
        <w:tblPrEx>
          <w:tblCellMar>
            <w:top w:w="0" w:type="dxa"/>
            <w:left w:w="0" w:type="dxa"/>
            <w:bottom w:w="0" w:type="dxa"/>
            <w:right w:w="0" w:type="dxa"/>
          </w:tblCellMar>
        </w:tblPrEx>
        <w:trPr>
          <w:cantSplit/>
          <w:trHeight w:val="851"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公司性质</w:t>
            </w:r>
          </w:p>
        </w:tc>
        <w:tc>
          <w:tcPr>
            <w:tcW w:w="8301" w:type="dxa"/>
            <w:gridSpan w:val="15"/>
            <w:tcBorders>
              <w:top w:val="single" w:color="auto" w:sz="4" w:space="0"/>
              <w:left w:val="nil"/>
              <w:bottom w:val="single" w:color="auto" w:sz="4" w:space="0"/>
              <w:right w:val="single" w:color="auto" w:sz="12" w:space="0"/>
            </w:tcBorders>
            <w:noWrap w:val="0"/>
            <w:vAlign w:val="center"/>
          </w:tcPr>
          <w:p>
            <w:pPr>
              <w:spacing w:line="360" w:lineRule="exact"/>
              <w:rPr>
                <w:rFonts w:ascii="宋体" w:hAnsi="宋体"/>
              </w:rPr>
            </w:pPr>
            <w:r>
              <w:rPr>
                <w:rFonts w:hint="eastAsia" w:ascii="宋体" w:hAnsi="宋体"/>
              </w:rPr>
              <w:t xml:space="preserve"> □国有企业          □民营/私营企业         □外商独资企业</w:t>
            </w:r>
          </w:p>
          <w:p>
            <w:pPr>
              <w:spacing w:line="360" w:lineRule="exact"/>
              <w:rPr>
                <w:rFonts w:ascii="宋体" w:hAnsi="宋体"/>
              </w:rPr>
            </w:pPr>
            <w:r>
              <w:rPr>
                <w:rFonts w:hint="eastAsia" w:ascii="宋体" w:hAnsi="宋体"/>
              </w:rPr>
              <w:t xml:space="preserve"> □中外合资企业      □政府部门和事业单位    □其他(请注明) </w:t>
            </w:r>
            <w:r>
              <w:rPr>
                <w:rFonts w:hint="eastAsia" w:ascii="宋体" w:hAnsi="宋体"/>
                <w:u w:val="single"/>
              </w:rPr>
              <w:t xml:space="preserve">             </w:t>
            </w:r>
          </w:p>
        </w:tc>
      </w:tr>
      <w:tr>
        <w:tblPrEx>
          <w:tblCellMar>
            <w:top w:w="0" w:type="dxa"/>
            <w:left w:w="0" w:type="dxa"/>
            <w:bottom w:w="0" w:type="dxa"/>
            <w:right w:w="0" w:type="dxa"/>
          </w:tblCellMar>
        </w:tblPrEx>
        <w:trPr>
          <w:cantSplit/>
          <w:trHeight w:val="484" w:hRule="atLeast"/>
          <w:jc w:val="center"/>
        </w:trPr>
        <w:tc>
          <w:tcPr>
            <w:tcW w:w="1317" w:type="dxa"/>
            <w:tcBorders>
              <w:top w:val="nil"/>
              <w:left w:val="single" w:color="auto" w:sz="12" w:space="0"/>
              <w:bottom w:val="single" w:color="auto" w:sz="12" w:space="0"/>
              <w:right w:val="single" w:color="auto" w:sz="4" w:space="0"/>
            </w:tcBorders>
            <w:noWrap w:val="0"/>
            <w:vAlign w:val="center"/>
          </w:tcPr>
          <w:p>
            <w:pPr>
              <w:jc w:val="center"/>
              <w:rPr>
                <w:rFonts w:ascii="宋体" w:hAnsi="宋体"/>
                <w:szCs w:val="21"/>
              </w:rPr>
            </w:pPr>
            <w:r>
              <w:rPr>
                <w:rFonts w:hint="eastAsia"/>
                <w:szCs w:val="21"/>
              </w:rPr>
              <w:t>所属行业</w:t>
            </w:r>
          </w:p>
        </w:tc>
        <w:tc>
          <w:tcPr>
            <w:tcW w:w="2936" w:type="dxa"/>
            <w:gridSpan w:val="2"/>
            <w:tcBorders>
              <w:top w:val="nil"/>
              <w:left w:val="nil"/>
              <w:bottom w:val="single" w:color="auto" w:sz="12" w:space="0"/>
              <w:right w:val="single" w:color="auto" w:sz="4" w:space="0"/>
            </w:tcBorders>
            <w:noWrap w:val="0"/>
            <w:vAlign w:val="center"/>
          </w:tcPr>
          <w:p>
            <w:pPr>
              <w:spacing w:line="320" w:lineRule="exact"/>
              <w:jc w:val="left"/>
              <w:rPr>
                <w:rFonts w:ascii="宋体" w:hAnsi="宋体"/>
                <w:szCs w:val="21"/>
              </w:rPr>
            </w:pPr>
            <w:r>
              <w:rPr>
                <w:rFonts w:hint="eastAsia" w:ascii="宋体" w:hAnsi="宋体"/>
                <w:szCs w:val="21"/>
              </w:rPr>
              <w:t>□制造业 □金融投资</w:t>
            </w:r>
          </w:p>
          <w:p>
            <w:pPr>
              <w:spacing w:line="320" w:lineRule="exact"/>
              <w:jc w:val="left"/>
              <w:rPr>
                <w:rFonts w:ascii="宋体" w:hAnsi="宋体"/>
                <w:szCs w:val="21"/>
              </w:rPr>
            </w:pPr>
            <w:r>
              <w:rPr>
                <w:rFonts w:hint="eastAsia" w:ascii="宋体" w:hAnsi="宋体"/>
                <w:szCs w:val="21"/>
              </w:rPr>
              <w:t>□贸易、服务业□房地产建筑      □信息、通讯  其他_______</w:t>
            </w:r>
          </w:p>
        </w:tc>
        <w:tc>
          <w:tcPr>
            <w:tcW w:w="992" w:type="dxa"/>
            <w:gridSpan w:val="3"/>
            <w:tcBorders>
              <w:top w:val="nil"/>
              <w:left w:val="nil"/>
              <w:bottom w:val="single" w:color="auto" w:sz="12"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企业</w:t>
            </w:r>
          </w:p>
          <w:p>
            <w:pPr>
              <w:spacing w:line="320" w:lineRule="exact"/>
              <w:jc w:val="center"/>
              <w:rPr>
                <w:rFonts w:ascii="宋体" w:hAnsi="宋体"/>
                <w:szCs w:val="21"/>
              </w:rPr>
            </w:pPr>
            <w:r>
              <w:rPr>
                <w:rFonts w:hint="eastAsia" w:ascii="宋体" w:hAnsi="宋体"/>
                <w:szCs w:val="21"/>
              </w:rPr>
              <w:t>年销售额</w:t>
            </w:r>
          </w:p>
        </w:tc>
        <w:tc>
          <w:tcPr>
            <w:tcW w:w="992" w:type="dxa"/>
            <w:gridSpan w:val="4"/>
            <w:tcBorders>
              <w:top w:val="nil"/>
              <w:left w:val="nil"/>
              <w:bottom w:val="single" w:color="auto" w:sz="12" w:space="0"/>
              <w:right w:val="single" w:color="auto" w:sz="4" w:space="0"/>
            </w:tcBorders>
            <w:noWrap w:val="0"/>
            <w:vAlign w:val="center"/>
          </w:tcPr>
          <w:p>
            <w:pPr>
              <w:widowControl/>
              <w:jc w:val="center"/>
              <w:rPr>
                <w:rFonts w:ascii="宋体" w:hAnsi="宋体"/>
                <w:szCs w:val="21"/>
              </w:rPr>
            </w:pPr>
          </w:p>
          <w:p>
            <w:pPr>
              <w:spacing w:line="320" w:lineRule="exact"/>
              <w:jc w:val="center"/>
              <w:rPr>
                <w:rFonts w:ascii="宋体" w:hAnsi="宋体"/>
                <w:szCs w:val="21"/>
              </w:rPr>
            </w:pPr>
          </w:p>
        </w:tc>
        <w:tc>
          <w:tcPr>
            <w:tcW w:w="851" w:type="dxa"/>
            <w:tcBorders>
              <w:top w:val="nil"/>
              <w:left w:val="nil"/>
              <w:bottom w:val="single" w:color="auto" w:sz="12" w:space="0"/>
              <w:right w:val="single" w:color="auto" w:sz="4" w:space="0"/>
            </w:tcBorders>
            <w:noWrap w:val="0"/>
            <w:vAlign w:val="center"/>
          </w:tcPr>
          <w:p>
            <w:pPr>
              <w:spacing w:line="320" w:lineRule="exact"/>
              <w:jc w:val="center"/>
              <w:rPr>
                <w:rFonts w:ascii="宋体" w:hAnsi="宋体"/>
                <w:szCs w:val="21"/>
              </w:rPr>
            </w:pPr>
            <w:r>
              <w:rPr>
                <w:rFonts w:hint="eastAsia" w:ascii="宋体" w:hAnsi="宋体"/>
                <w:szCs w:val="21"/>
              </w:rPr>
              <w:t>企业</w:t>
            </w:r>
          </w:p>
          <w:p>
            <w:pPr>
              <w:spacing w:line="320" w:lineRule="exact"/>
              <w:jc w:val="center"/>
              <w:rPr>
                <w:rFonts w:ascii="宋体" w:hAnsi="宋体"/>
                <w:szCs w:val="21"/>
              </w:rPr>
            </w:pPr>
            <w:r>
              <w:rPr>
                <w:rFonts w:hint="eastAsia" w:ascii="宋体" w:hAnsi="宋体"/>
                <w:szCs w:val="21"/>
              </w:rPr>
              <w:t>员工人数</w:t>
            </w:r>
          </w:p>
        </w:tc>
        <w:tc>
          <w:tcPr>
            <w:tcW w:w="992" w:type="dxa"/>
            <w:gridSpan w:val="3"/>
            <w:tcBorders>
              <w:top w:val="nil"/>
              <w:left w:val="single" w:color="auto" w:sz="4" w:space="0"/>
              <w:bottom w:val="single" w:color="auto" w:sz="12" w:space="0"/>
              <w:right w:val="single" w:color="auto" w:sz="4" w:space="0"/>
            </w:tcBorders>
            <w:noWrap w:val="0"/>
            <w:vAlign w:val="center"/>
          </w:tcPr>
          <w:p>
            <w:pPr>
              <w:spacing w:line="320" w:lineRule="exact"/>
              <w:ind w:left="90"/>
              <w:jc w:val="center"/>
              <w:rPr>
                <w:rFonts w:ascii="宋体" w:hAnsi="宋体"/>
                <w:szCs w:val="21"/>
              </w:rPr>
            </w:pPr>
          </w:p>
        </w:tc>
        <w:tc>
          <w:tcPr>
            <w:tcW w:w="567" w:type="dxa"/>
            <w:tcBorders>
              <w:top w:val="nil"/>
              <w:left w:val="single" w:color="auto" w:sz="4" w:space="0"/>
              <w:bottom w:val="single" w:color="auto" w:sz="12" w:space="0"/>
              <w:right w:val="single" w:color="auto" w:sz="4" w:space="0"/>
            </w:tcBorders>
            <w:noWrap w:val="0"/>
            <w:vAlign w:val="center"/>
          </w:tcPr>
          <w:p>
            <w:pPr>
              <w:spacing w:line="320" w:lineRule="exact"/>
              <w:ind w:left="90"/>
              <w:jc w:val="center"/>
              <w:rPr>
                <w:szCs w:val="21"/>
              </w:rPr>
            </w:pPr>
            <w:r>
              <w:rPr>
                <w:rFonts w:hint="eastAsia"/>
                <w:szCs w:val="21"/>
              </w:rPr>
              <w:t>兴趣</w:t>
            </w:r>
          </w:p>
          <w:p>
            <w:pPr>
              <w:spacing w:line="320" w:lineRule="exact"/>
              <w:ind w:left="90"/>
              <w:jc w:val="center"/>
              <w:rPr>
                <w:rFonts w:ascii="宋体" w:hAnsi="宋体"/>
                <w:szCs w:val="21"/>
              </w:rPr>
            </w:pPr>
            <w:r>
              <w:rPr>
                <w:rFonts w:hint="eastAsia"/>
                <w:szCs w:val="21"/>
              </w:rPr>
              <w:t>爱好</w:t>
            </w:r>
          </w:p>
        </w:tc>
        <w:tc>
          <w:tcPr>
            <w:tcW w:w="971" w:type="dxa"/>
            <w:tcBorders>
              <w:top w:val="nil"/>
              <w:left w:val="single" w:color="auto" w:sz="4" w:space="0"/>
              <w:bottom w:val="single" w:color="auto" w:sz="12" w:space="0"/>
              <w:right w:val="single" w:color="auto" w:sz="12" w:space="0"/>
            </w:tcBorders>
            <w:noWrap w:val="0"/>
            <w:vAlign w:val="center"/>
          </w:tcPr>
          <w:p>
            <w:pPr>
              <w:spacing w:line="320" w:lineRule="exact"/>
              <w:jc w:val="center"/>
              <w:rPr>
                <w:rFonts w:ascii="宋体" w:hAnsi="宋体"/>
                <w:szCs w:val="21"/>
              </w:rPr>
            </w:pPr>
          </w:p>
        </w:tc>
      </w:tr>
      <w:tr>
        <w:tblPrEx>
          <w:tblCellMar>
            <w:top w:w="0" w:type="dxa"/>
            <w:left w:w="0" w:type="dxa"/>
            <w:bottom w:w="0" w:type="dxa"/>
            <w:right w:w="0" w:type="dxa"/>
          </w:tblCellMar>
        </w:tblPrEx>
        <w:trPr>
          <w:cantSplit/>
          <w:trHeight w:val="363" w:hRule="atLeast"/>
          <w:jc w:val="center"/>
        </w:trPr>
        <w:tc>
          <w:tcPr>
            <w:tcW w:w="9618" w:type="dxa"/>
            <w:gridSpan w:val="16"/>
            <w:tcBorders>
              <w:top w:val="single" w:color="auto" w:sz="12" w:space="0"/>
              <w:left w:val="single" w:color="auto" w:sz="12" w:space="0"/>
              <w:bottom w:val="single" w:color="auto" w:sz="12" w:space="0"/>
              <w:right w:val="single" w:color="auto" w:sz="12" w:space="0"/>
            </w:tcBorders>
            <w:noWrap w:val="0"/>
            <w:vAlign w:val="center"/>
          </w:tcPr>
          <w:p>
            <w:pPr>
              <w:rPr>
                <w:rFonts w:ascii="宋体" w:hAnsi="宋体"/>
                <w:b/>
                <w:sz w:val="24"/>
              </w:rPr>
            </w:pPr>
            <w:r>
              <w:rPr>
                <w:rFonts w:hint="eastAsia"/>
                <w:b/>
                <w:sz w:val="24"/>
              </w:rPr>
              <w:t>其他信息</w:t>
            </w:r>
          </w:p>
        </w:tc>
      </w:tr>
      <w:tr>
        <w:tblPrEx>
          <w:tblCellMar>
            <w:top w:w="0" w:type="dxa"/>
            <w:left w:w="0" w:type="dxa"/>
            <w:bottom w:w="0" w:type="dxa"/>
            <w:right w:w="0" w:type="dxa"/>
          </w:tblCellMar>
        </w:tblPrEx>
        <w:trPr>
          <w:cantSplit/>
          <w:trHeight w:val="973" w:hRule="atLeast"/>
          <w:jc w:val="center"/>
        </w:trPr>
        <w:tc>
          <w:tcPr>
            <w:tcW w:w="1317" w:type="dxa"/>
            <w:tcBorders>
              <w:top w:val="single" w:color="auto" w:sz="12"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获得信息的渠道</w:t>
            </w:r>
          </w:p>
        </w:tc>
        <w:tc>
          <w:tcPr>
            <w:tcW w:w="8301" w:type="dxa"/>
            <w:gridSpan w:val="15"/>
            <w:tcBorders>
              <w:top w:val="single" w:color="auto" w:sz="12" w:space="0"/>
              <w:left w:val="nil"/>
              <w:bottom w:val="single" w:color="auto" w:sz="4" w:space="0"/>
              <w:right w:val="single" w:color="auto" w:sz="12" w:space="0"/>
            </w:tcBorders>
            <w:noWrap w:val="0"/>
            <w:vAlign w:val="center"/>
          </w:tcPr>
          <w:p>
            <w:pPr>
              <w:spacing w:line="320" w:lineRule="exact"/>
              <w:ind w:firstLine="110" w:firstLineChars="50"/>
              <w:rPr>
                <w:rFonts w:ascii="宋体" w:hAnsi="宋体"/>
              </w:rPr>
            </w:pPr>
            <w:r>
              <w:rPr>
                <w:rFonts w:hint="eastAsia" w:ascii="宋体" w:hAnsi="宋体"/>
              </w:rPr>
              <w:t>□同事或朋友介绍（姓名）</w:t>
            </w:r>
            <w:r>
              <w:rPr>
                <w:rFonts w:hint="eastAsia" w:ascii="宋体" w:hAnsi="宋体"/>
                <w:u w:val="single"/>
              </w:rPr>
              <w:t xml:space="preserve">                    </w:t>
            </w:r>
            <w:r>
              <w:rPr>
                <w:rFonts w:ascii="宋体" w:hAnsi="宋体"/>
              </w:rPr>
              <w:t>□</w:t>
            </w:r>
            <w:r>
              <w:rPr>
                <w:rFonts w:hint="eastAsia" w:ascii="宋体" w:hAnsi="宋体"/>
              </w:rPr>
              <w:t>本公司人力资源部</w:t>
            </w:r>
          </w:p>
          <w:p>
            <w:pPr>
              <w:spacing w:line="320" w:lineRule="exact"/>
              <w:rPr>
                <w:rFonts w:ascii="宋体" w:hAnsi="宋体"/>
              </w:rPr>
            </w:pPr>
            <w:r>
              <w:rPr>
                <w:rFonts w:hint="eastAsia" w:ascii="宋体" w:hAnsi="宋体"/>
              </w:rPr>
              <w:t xml:space="preserve"> </w:t>
            </w:r>
            <w:r>
              <w:rPr>
                <w:rFonts w:ascii="宋体" w:hAnsi="宋体"/>
              </w:rPr>
              <w:t>□</w:t>
            </w:r>
            <w:r>
              <w:rPr>
                <w:rFonts w:hint="eastAsia" w:ascii="宋体" w:hAnsi="宋体"/>
              </w:rPr>
              <w:t xml:space="preserve">搜索引擎             </w:t>
            </w:r>
            <w:r>
              <w:rPr>
                <w:rFonts w:ascii="宋体" w:hAnsi="宋体"/>
              </w:rPr>
              <w:t>□</w:t>
            </w:r>
            <w:r>
              <w:rPr>
                <w:rFonts w:hint="eastAsia" w:ascii="宋体" w:hAnsi="宋体"/>
              </w:rPr>
              <w:t>报纸、杂志广告(请注明)</w:t>
            </w:r>
            <w:r>
              <w:rPr>
                <w:rFonts w:hint="eastAsia" w:ascii="宋体" w:hAnsi="宋体"/>
                <w:u w:val="single"/>
              </w:rPr>
              <w:t xml:space="preserve">         </w:t>
            </w:r>
          </w:p>
          <w:p>
            <w:pPr>
              <w:spacing w:line="320" w:lineRule="exact"/>
              <w:ind w:firstLine="110" w:firstLineChars="50"/>
              <w:rPr>
                <w:rFonts w:ascii="宋体" w:hAnsi="宋体"/>
              </w:rPr>
            </w:pPr>
            <w:r>
              <w:rPr>
                <w:rFonts w:ascii="宋体" w:hAnsi="宋体"/>
              </w:rPr>
              <w:t>□</w:t>
            </w:r>
            <w:r>
              <w:rPr>
                <w:rFonts w:hint="eastAsia" w:ascii="宋体" w:hAnsi="宋体"/>
              </w:rPr>
              <w:t>网络广告</w:t>
            </w:r>
            <w:r>
              <w:rPr>
                <w:rFonts w:hAnsi="宋体"/>
              </w:rPr>
              <w:t>（</w:t>
            </w:r>
            <w:r>
              <w:t>E-mail</w:t>
            </w:r>
            <w:r>
              <w:rPr>
                <w:rFonts w:hint="eastAsia" w:hAnsi="宋体"/>
              </w:rPr>
              <w:t xml:space="preserve">）   </w:t>
            </w:r>
            <w:r>
              <w:rPr>
                <w:rFonts w:ascii="宋体" w:hAnsi="宋体"/>
              </w:rPr>
              <w:t>□</w:t>
            </w:r>
            <w:r>
              <w:rPr>
                <w:rFonts w:hint="eastAsia" w:ascii="宋体" w:hAnsi="宋体"/>
              </w:rPr>
              <w:t xml:space="preserve">各种直邮资料   </w:t>
            </w:r>
            <w:r>
              <w:rPr>
                <w:rFonts w:ascii="宋体" w:hAnsi="宋体"/>
              </w:rPr>
              <w:t>□</w:t>
            </w:r>
            <w:r>
              <w:rPr>
                <w:rFonts w:hint="eastAsia" w:ascii="宋体" w:hAnsi="宋体"/>
              </w:rPr>
              <w:t>其他(请注明)</w:t>
            </w:r>
            <w:r>
              <w:rPr>
                <w:rFonts w:hint="eastAsia" w:ascii="宋体" w:hAnsi="宋体"/>
                <w:u w:val="single"/>
              </w:rPr>
              <w:t xml:space="preserve">           </w:t>
            </w:r>
          </w:p>
        </w:tc>
      </w:tr>
      <w:tr>
        <w:tblPrEx>
          <w:tblCellMar>
            <w:top w:w="0" w:type="dxa"/>
            <w:left w:w="0" w:type="dxa"/>
            <w:bottom w:w="0" w:type="dxa"/>
            <w:right w:w="0" w:type="dxa"/>
          </w:tblCellMar>
        </w:tblPrEx>
        <w:trPr>
          <w:cantSplit/>
          <w:trHeight w:val="566"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szCs w:val="21"/>
              </w:rPr>
              <w:t>需要提交资料</w:t>
            </w:r>
          </w:p>
        </w:tc>
        <w:tc>
          <w:tcPr>
            <w:tcW w:w="8301" w:type="dxa"/>
            <w:gridSpan w:val="15"/>
            <w:tcBorders>
              <w:top w:val="single" w:color="auto" w:sz="4" w:space="0"/>
              <w:left w:val="nil"/>
              <w:bottom w:val="single" w:color="auto" w:sz="4" w:space="0"/>
              <w:right w:val="single" w:color="auto" w:sz="12" w:space="0"/>
            </w:tcBorders>
            <w:noWrap w:val="0"/>
            <w:vAlign w:val="center"/>
          </w:tcPr>
          <w:p>
            <w:pPr>
              <w:spacing w:line="320" w:lineRule="exact"/>
              <w:ind w:firstLine="110" w:firstLineChars="50"/>
              <w:jc w:val="center"/>
              <w:rPr>
                <w:rFonts w:ascii="宋体" w:hAnsi="宋体"/>
                <w:szCs w:val="21"/>
              </w:rPr>
            </w:pPr>
            <w:r>
              <w:rPr>
                <w:rFonts w:hint="eastAsia" w:ascii="宋体" w:hAnsi="宋体"/>
                <w:szCs w:val="21"/>
              </w:rPr>
              <w:t>★报名登记表 ★名片1张 ★身份证复印件1张 ★企业简介 ★营业执照副本复印件1张</w:t>
            </w:r>
          </w:p>
        </w:tc>
      </w:tr>
      <w:tr>
        <w:tblPrEx>
          <w:tblCellMar>
            <w:top w:w="0" w:type="dxa"/>
            <w:left w:w="0" w:type="dxa"/>
            <w:bottom w:w="0" w:type="dxa"/>
            <w:right w:w="0" w:type="dxa"/>
          </w:tblCellMar>
        </w:tblPrEx>
        <w:trPr>
          <w:cantSplit/>
          <w:trHeight w:val="756" w:hRule="atLeast"/>
          <w:jc w:val="center"/>
        </w:trPr>
        <w:tc>
          <w:tcPr>
            <w:tcW w:w="1317" w:type="dxa"/>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eastAsia="宋体"/>
                <w:szCs w:val="21"/>
                <w:lang w:val="en-US" w:eastAsia="zh-CN"/>
              </w:rPr>
            </w:pPr>
            <w:r>
              <w:rPr>
                <w:rFonts w:hint="eastAsia"/>
                <w:szCs w:val="21"/>
              </w:rPr>
              <w:t>报读</w:t>
            </w:r>
            <w:r>
              <w:rPr>
                <w:rFonts w:hint="eastAsia"/>
                <w:szCs w:val="21"/>
                <w:lang w:val="en-US" w:eastAsia="zh-CN"/>
              </w:rPr>
              <w:t>课程</w:t>
            </w:r>
          </w:p>
        </w:tc>
        <w:tc>
          <w:tcPr>
            <w:tcW w:w="8301" w:type="dxa"/>
            <w:gridSpan w:val="15"/>
            <w:tcBorders>
              <w:top w:val="single" w:color="auto" w:sz="4" w:space="0"/>
              <w:left w:val="nil"/>
              <w:bottom w:val="single" w:color="auto" w:sz="4" w:space="0"/>
              <w:right w:val="single" w:color="auto" w:sz="12" w:space="0"/>
            </w:tcBorders>
            <w:noWrap w:val="0"/>
            <w:vAlign w:val="center"/>
          </w:tcPr>
          <w:p>
            <w:pPr>
              <w:spacing w:line="320" w:lineRule="exact"/>
              <w:ind w:firstLine="110" w:firstLineChars="50"/>
              <w:rPr>
                <w:rFonts w:ascii="宋体" w:hAnsi="宋体"/>
                <w:color w:val="0000FF"/>
                <w:szCs w:val="21"/>
              </w:rPr>
            </w:pPr>
            <w:r>
              <w:rPr>
                <w:rFonts w:hint="eastAsia" w:ascii="宋体" w:hAnsi="宋体"/>
                <w:color w:val="0000FF"/>
                <w:szCs w:val="21"/>
              </w:rPr>
              <w:t xml:space="preserve"> </w:t>
            </w:r>
          </w:p>
        </w:tc>
      </w:tr>
    </w:tbl>
    <w:p>
      <w:pPr>
        <w:rPr>
          <w:rFonts w:hint="default"/>
          <w:lang w:val="en-US" w:eastAsia="zh-CN"/>
        </w:rPr>
      </w:pPr>
      <w:r>
        <w:rPr>
          <w:rFonts w:hint="eastAsia"/>
          <w:szCs w:val="21"/>
        </w:rPr>
        <w:t>注：如在报名材料中提供虚假、错误的信息，遗漏重要信息，将自愿承担不予录取或取消学籍的后果。所缴纳的费用将不予退还。</w:t>
      </w:r>
      <w:r>
        <w:rPr>
          <w:rFonts w:hint="eastAsia"/>
        </w:rPr>
        <w:t>报</w:t>
      </w:r>
      <w:bookmarkStart w:id="1" w:name="_GoBack"/>
      <w:bookmarkEnd w:id="1"/>
      <w:r>
        <w:rPr>
          <w:rFonts w:hint="eastAsia"/>
        </w:rPr>
        <w:t>名热线：010-5368 6668  13488893598 （刘煜坤老师）</w:t>
      </w:r>
      <w:r>
        <w:rPr>
          <w:rFonts w:hint="eastAsia"/>
          <w:lang w:val="en-US" w:eastAsia="zh-CN"/>
        </w:rPr>
        <w:t>邮箱：</w:t>
      </w:r>
      <w:r>
        <w:rPr>
          <w:rFonts w:hint="eastAsia"/>
          <w:lang w:val="en-US" w:eastAsia="zh-CN"/>
        </w:rPr>
        <w:fldChar w:fldCharType="begin"/>
      </w:r>
      <w:r>
        <w:rPr>
          <w:rFonts w:hint="eastAsia"/>
          <w:lang w:val="en-US" w:eastAsia="zh-CN"/>
        </w:rPr>
        <w:instrText xml:space="preserve"> HYPERLINK "mailto:liujingli818@163.com" </w:instrText>
      </w:r>
      <w:r>
        <w:rPr>
          <w:rFonts w:hint="eastAsia"/>
          <w:lang w:val="en-US" w:eastAsia="zh-CN"/>
        </w:rPr>
        <w:fldChar w:fldCharType="separate"/>
      </w:r>
      <w:r>
        <w:rPr>
          <w:rStyle w:val="6"/>
          <w:rFonts w:hint="eastAsia"/>
          <w:lang w:val="en-US" w:eastAsia="zh-CN"/>
        </w:rPr>
        <w:t>liujingli818@163.com</w:t>
      </w:r>
      <w:r>
        <w:rPr>
          <w:rFonts w:hint="eastAsia"/>
          <w:lang w:val="en-US" w:eastAsia="zh-CN"/>
        </w:rPr>
        <w:fldChar w:fldCharType="end"/>
      </w:r>
      <w:r>
        <w:rPr>
          <w:rFonts w:hint="eastAsia"/>
          <w:lang w:val="en-US" w:eastAsia="zh-CN"/>
        </w:rPr>
        <w:t xml:space="preserve"> 刘老师</w:t>
      </w:r>
    </w:p>
    <w:sectPr>
      <w:pgSz w:w="11910" w:h="16840"/>
      <w:pgMar w:top="1760" w:right="900" w:bottom="1180" w:left="1020" w:header="852" w:footer="91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华文仿宋">
    <w:altName w:val="仿宋"/>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pict>
        <v:shape id="_x0000_s2053" o:spid="_x0000_s2053" o:spt="202" type="#_x0000_t202" style="position:absolute;left:0pt;margin-left:293.3pt;margin-top:781.4pt;height:11pt;width:8.6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group id="_x0000_s2049" o:spid="_x0000_s2049" o:spt="203" style="position:absolute;left:0pt;margin-left:51.8pt;margin-top:42.6pt;height:45.85pt;width:487.25pt;mso-position-horizontal-relative:page;mso-position-vertical-relative:page;z-index:-251657216;mso-width-relative:page;mso-height-relative:page;" coordorigin="1037,852" coordsize="9745,917">
          <o:lock v:ext="edit"/>
          <v:shape id="_x0000_s2050" o:spid="_x0000_s2050" o:spt="75" type="#_x0000_t75" style="position:absolute;left:1132;top:852;height:917;width:2818;" filled="f" stroked="f" coordsize="21600,21600">
            <v:path/>
            <v:fill on="f" focussize="0,0"/>
            <v:stroke on="f"/>
            <v:imagedata r:id="rId1" o:title=""/>
            <o:lock v:ext="edit" aspectratio="t"/>
          </v:shape>
          <v:shape id="_x0000_s2051" o:spid="_x0000_s2051" o:spt="75" type="#_x0000_t75" style="position:absolute;left:4019;top:1031;height:705;width:1878;" filled="f" stroked="f" coordsize="21600,21600">
            <v:path/>
            <v:fill on="f" focussize="0,0"/>
            <v:stroke on="f"/>
            <v:imagedata r:id="rId2" o:title=""/>
            <o:lock v:ext="edit" aspectratio="t"/>
          </v:shape>
          <v:line id="_x0000_s2052" o:spid="_x0000_s2052" o:spt="20" style="position:absolute;left:1037;top:1755;height:0;width:9745;" stroked="t" coordsize="21600,21600">
            <v:path arrowok="t"/>
            <v:fill focussize="0,0"/>
            <v:stroke color="#000000"/>
            <v:imagedata o:title=""/>
            <o:lock v:ext="edit"/>
          </v:lin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847" w:hanging="420"/>
      </w:pPr>
      <w:rPr>
        <w:rFonts w:hint="default" w:ascii="Wingdings" w:hAnsi="Wingdings" w:eastAsia="Wingdings" w:cs="Wingdings"/>
        <w:w w:val="100"/>
        <w:sz w:val="24"/>
        <w:szCs w:val="24"/>
      </w:rPr>
    </w:lvl>
    <w:lvl w:ilvl="1" w:tentative="0">
      <w:start w:val="0"/>
      <w:numFmt w:val="bullet"/>
      <w:lvlText w:val="•"/>
      <w:lvlJc w:val="left"/>
      <w:pPr>
        <w:ind w:left="1754" w:hanging="420"/>
      </w:pPr>
      <w:rPr>
        <w:rFonts w:hint="default"/>
      </w:rPr>
    </w:lvl>
    <w:lvl w:ilvl="2" w:tentative="0">
      <w:start w:val="0"/>
      <w:numFmt w:val="bullet"/>
      <w:lvlText w:val="•"/>
      <w:lvlJc w:val="left"/>
      <w:pPr>
        <w:ind w:left="2669" w:hanging="420"/>
      </w:pPr>
      <w:rPr>
        <w:rFonts w:hint="default"/>
      </w:rPr>
    </w:lvl>
    <w:lvl w:ilvl="3" w:tentative="0">
      <w:start w:val="0"/>
      <w:numFmt w:val="bullet"/>
      <w:lvlText w:val="•"/>
      <w:lvlJc w:val="left"/>
      <w:pPr>
        <w:ind w:left="3583" w:hanging="420"/>
      </w:pPr>
      <w:rPr>
        <w:rFonts w:hint="default"/>
      </w:rPr>
    </w:lvl>
    <w:lvl w:ilvl="4" w:tentative="0">
      <w:start w:val="0"/>
      <w:numFmt w:val="bullet"/>
      <w:lvlText w:val="•"/>
      <w:lvlJc w:val="left"/>
      <w:pPr>
        <w:ind w:left="4498" w:hanging="420"/>
      </w:pPr>
      <w:rPr>
        <w:rFonts w:hint="default"/>
      </w:rPr>
    </w:lvl>
    <w:lvl w:ilvl="5" w:tentative="0">
      <w:start w:val="0"/>
      <w:numFmt w:val="bullet"/>
      <w:lvlText w:val="•"/>
      <w:lvlJc w:val="left"/>
      <w:pPr>
        <w:ind w:left="5413" w:hanging="420"/>
      </w:pPr>
      <w:rPr>
        <w:rFonts w:hint="default"/>
      </w:rPr>
    </w:lvl>
    <w:lvl w:ilvl="6" w:tentative="0">
      <w:start w:val="0"/>
      <w:numFmt w:val="bullet"/>
      <w:lvlText w:val="•"/>
      <w:lvlJc w:val="left"/>
      <w:pPr>
        <w:ind w:left="6327" w:hanging="420"/>
      </w:pPr>
      <w:rPr>
        <w:rFonts w:hint="default"/>
      </w:rPr>
    </w:lvl>
    <w:lvl w:ilvl="7" w:tentative="0">
      <w:start w:val="0"/>
      <w:numFmt w:val="bullet"/>
      <w:lvlText w:val="•"/>
      <w:lvlJc w:val="left"/>
      <w:pPr>
        <w:ind w:left="7242" w:hanging="420"/>
      </w:pPr>
      <w:rPr>
        <w:rFonts w:hint="default"/>
      </w:rPr>
    </w:lvl>
    <w:lvl w:ilvl="8" w:tentative="0">
      <w:start w:val="0"/>
      <w:numFmt w:val="bullet"/>
      <w:lvlText w:val="•"/>
      <w:lvlJc w:val="left"/>
      <w:pPr>
        <w:ind w:left="8156" w:hanging="420"/>
      </w:pPr>
      <w:rPr>
        <w:rFonts w:hint="default"/>
      </w:rPr>
    </w:lvl>
  </w:abstractNum>
  <w:abstractNum w:abstractNumId="1">
    <w:nsid w:val="0053208E"/>
    <w:multiLevelType w:val="multilevel"/>
    <w:tmpl w:val="0053208E"/>
    <w:lvl w:ilvl="0" w:tentative="0">
      <w:start w:val="0"/>
      <w:numFmt w:val="bullet"/>
      <w:lvlText w:val=""/>
      <w:lvlJc w:val="left"/>
      <w:pPr>
        <w:ind w:left="952" w:hanging="360"/>
      </w:pPr>
      <w:rPr>
        <w:rFonts w:hint="default" w:ascii="Wingdings" w:hAnsi="Wingdings" w:eastAsia="Wingdings" w:cs="Wingdings"/>
        <w:w w:val="100"/>
        <w:sz w:val="24"/>
        <w:szCs w:val="24"/>
      </w:rPr>
    </w:lvl>
    <w:lvl w:ilvl="1" w:tentative="0">
      <w:start w:val="0"/>
      <w:numFmt w:val="bullet"/>
      <w:lvlText w:val="•"/>
      <w:lvlJc w:val="left"/>
      <w:pPr>
        <w:ind w:left="1862" w:hanging="360"/>
      </w:pPr>
      <w:rPr>
        <w:rFonts w:hint="default"/>
      </w:rPr>
    </w:lvl>
    <w:lvl w:ilvl="2" w:tentative="0">
      <w:start w:val="0"/>
      <w:numFmt w:val="bullet"/>
      <w:lvlText w:val="•"/>
      <w:lvlJc w:val="left"/>
      <w:pPr>
        <w:ind w:left="2765" w:hanging="360"/>
      </w:pPr>
      <w:rPr>
        <w:rFonts w:hint="default"/>
      </w:rPr>
    </w:lvl>
    <w:lvl w:ilvl="3" w:tentative="0">
      <w:start w:val="0"/>
      <w:numFmt w:val="bullet"/>
      <w:lvlText w:val="•"/>
      <w:lvlJc w:val="left"/>
      <w:pPr>
        <w:ind w:left="3667" w:hanging="360"/>
      </w:pPr>
      <w:rPr>
        <w:rFonts w:hint="default"/>
      </w:rPr>
    </w:lvl>
    <w:lvl w:ilvl="4" w:tentative="0">
      <w:start w:val="0"/>
      <w:numFmt w:val="bullet"/>
      <w:lvlText w:val="•"/>
      <w:lvlJc w:val="left"/>
      <w:pPr>
        <w:ind w:left="4570" w:hanging="360"/>
      </w:pPr>
      <w:rPr>
        <w:rFonts w:hint="default"/>
      </w:rPr>
    </w:lvl>
    <w:lvl w:ilvl="5" w:tentative="0">
      <w:start w:val="0"/>
      <w:numFmt w:val="bullet"/>
      <w:lvlText w:val="•"/>
      <w:lvlJc w:val="left"/>
      <w:pPr>
        <w:ind w:left="5473" w:hanging="360"/>
      </w:pPr>
      <w:rPr>
        <w:rFonts w:hint="default"/>
      </w:rPr>
    </w:lvl>
    <w:lvl w:ilvl="6" w:tentative="0">
      <w:start w:val="0"/>
      <w:numFmt w:val="bullet"/>
      <w:lvlText w:val="•"/>
      <w:lvlJc w:val="left"/>
      <w:pPr>
        <w:ind w:left="6375" w:hanging="360"/>
      </w:pPr>
      <w:rPr>
        <w:rFonts w:hint="default"/>
      </w:rPr>
    </w:lvl>
    <w:lvl w:ilvl="7" w:tentative="0">
      <w:start w:val="0"/>
      <w:numFmt w:val="bullet"/>
      <w:lvlText w:val="•"/>
      <w:lvlJc w:val="left"/>
      <w:pPr>
        <w:ind w:left="7278" w:hanging="360"/>
      </w:pPr>
      <w:rPr>
        <w:rFonts w:hint="default"/>
      </w:rPr>
    </w:lvl>
    <w:lvl w:ilvl="8" w:tentative="0">
      <w:start w:val="0"/>
      <w:numFmt w:val="bullet"/>
      <w:lvlText w:val="•"/>
      <w:lvlJc w:val="left"/>
      <w:pPr>
        <w:ind w:left="8180" w:hanging="360"/>
      </w:pPr>
      <w:rPr>
        <w:rFonts w:hint="default"/>
      </w:rPr>
    </w:lvl>
  </w:abstractNum>
  <w:abstractNum w:abstractNumId="2">
    <w:nsid w:val="59ADCABA"/>
    <w:multiLevelType w:val="multilevel"/>
    <w:tmpl w:val="59ADCABA"/>
    <w:lvl w:ilvl="0" w:tentative="0">
      <w:start w:val="0"/>
      <w:numFmt w:val="bullet"/>
      <w:lvlText w:val="◆"/>
      <w:lvlJc w:val="left"/>
      <w:pPr>
        <w:ind w:left="112" w:hanging="360"/>
      </w:pPr>
      <w:rPr>
        <w:rFonts w:hint="default" w:ascii="华文仿宋" w:hAnsi="华文仿宋" w:eastAsia="华文仿宋" w:cs="华文仿宋"/>
        <w:w w:val="100"/>
        <w:sz w:val="24"/>
        <w:szCs w:val="24"/>
      </w:rPr>
    </w:lvl>
    <w:lvl w:ilvl="1" w:tentative="0">
      <w:start w:val="0"/>
      <w:numFmt w:val="bullet"/>
      <w:lvlText w:val="•"/>
      <w:lvlJc w:val="left"/>
      <w:pPr>
        <w:ind w:left="1106" w:hanging="360"/>
      </w:pPr>
      <w:rPr>
        <w:rFonts w:hint="default"/>
      </w:rPr>
    </w:lvl>
    <w:lvl w:ilvl="2" w:tentative="0">
      <w:start w:val="0"/>
      <w:numFmt w:val="bullet"/>
      <w:lvlText w:val="•"/>
      <w:lvlJc w:val="left"/>
      <w:pPr>
        <w:ind w:left="2093" w:hanging="360"/>
      </w:pPr>
      <w:rPr>
        <w:rFonts w:hint="default"/>
      </w:rPr>
    </w:lvl>
    <w:lvl w:ilvl="3" w:tentative="0">
      <w:start w:val="0"/>
      <w:numFmt w:val="bullet"/>
      <w:lvlText w:val="•"/>
      <w:lvlJc w:val="left"/>
      <w:pPr>
        <w:ind w:left="3079" w:hanging="360"/>
      </w:pPr>
      <w:rPr>
        <w:rFonts w:hint="default"/>
      </w:rPr>
    </w:lvl>
    <w:lvl w:ilvl="4" w:tentative="0">
      <w:start w:val="0"/>
      <w:numFmt w:val="bullet"/>
      <w:lvlText w:val="•"/>
      <w:lvlJc w:val="left"/>
      <w:pPr>
        <w:ind w:left="4066" w:hanging="360"/>
      </w:pPr>
      <w:rPr>
        <w:rFonts w:hint="default"/>
      </w:rPr>
    </w:lvl>
    <w:lvl w:ilvl="5" w:tentative="0">
      <w:start w:val="0"/>
      <w:numFmt w:val="bullet"/>
      <w:lvlText w:val="•"/>
      <w:lvlJc w:val="left"/>
      <w:pPr>
        <w:ind w:left="5053" w:hanging="360"/>
      </w:pPr>
      <w:rPr>
        <w:rFonts w:hint="default"/>
      </w:rPr>
    </w:lvl>
    <w:lvl w:ilvl="6" w:tentative="0">
      <w:start w:val="0"/>
      <w:numFmt w:val="bullet"/>
      <w:lvlText w:val="•"/>
      <w:lvlJc w:val="left"/>
      <w:pPr>
        <w:ind w:left="6039" w:hanging="360"/>
      </w:pPr>
      <w:rPr>
        <w:rFonts w:hint="default"/>
      </w:rPr>
    </w:lvl>
    <w:lvl w:ilvl="7" w:tentative="0">
      <w:start w:val="0"/>
      <w:numFmt w:val="bullet"/>
      <w:lvlText w:val="•"/>
      <w:lvlJc w:val="left"/>
      <w:pPr>
        <w:ind w:left="7026" w:hanging="360"/>
      </w:pPr>
      <w:rPr>
        <w:rFonts w:hint="default"/>
      </w:rPr>
    </w:lvl>
    <w:lvl w:ilvl="8" w:tentative="0">
      <w:start w:val="0"/>
      <w:numFmt w:val="bullet"/>
      <w:lvlText w:val="•"/>
      <w:lvlJc w:val="left"/>
      <w:pPr>
        <w:ind w:left="801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0A3D172D"/>
    <w:rsid w:val="13B16CE7"/>
    <w:rsid w:val="4F9A4515"/>
    <w:rsid w:val="5AB04BD0"/>
    <w:rsid w:val="7B3C02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华文仿宋" w:hAnsi="华文仿宋" w:eastAsia="华文仿宋" w:cs="华文仿宋"/>
      <w:sz w:val="22"/>
      <w:szCs w:val="22"/>
      <w:lang w:val="en-US" w:eastAsia="en-US" w:bidi="ar-SA"/>
    </w:rPr>
  </w:style>
  <w:style w:type="paragraph" w:styleId="2">
    <w:name w:val="heading 1"/>
    <w:basedOn w:val="1"/>
    <w:next w:val="1"/>
    <w:qFormat/>
    <w:uiPriority w:val="1"/>
    <w:pPr>
      <w:spacing w:before="146"/>
      <w:ind w:left="112"/>
      <w:outlineLvl w:val="1"/>
    </w:pPr>
    <w:rPr>
      <w:rFonts w:ascii="宋体" w:hAnsi="宋体" w:eastAsia="宋体" w:cs="宋体"/>
      <w:b/>
      <w:bCs/>
      <w:sz w:val="24"/>
      <w:szCs w:val="24"/>
    </w:rPr>
  </w:style>
  <w:style w:type="character" w:default="1" w:styleId="5">
    <w:name w:val="Default Paragraph Font"/>
    <w:semiHidden/>
    <w:unhideWhenUsed/>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2"/>
    </w:pPr>
    <w:rPr>
      <w:rFonts w:ascii="华文仿宋" w:hAnsi="华文仿宋" w:eastAsia="华文仿宋" w:cs="华文仿宋"/>
      <w:sz w:val="24"/>
      <w:szCs w:val="24"/>
    </w:rPr>
  </w:style>
  <w:style w:type="character" w:styleId="6">
    <w:name w:val="Hyperlink"/>
    <w:basedOn w:val="5"/>
    <w:uiPriority w:val="0"/>
    <w:rPr>
      <w:color w:val="0000FF"/>
      <w:u w:val="single"/>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13"/>
      <w:ind w:left="112"/>
    </w:pPr>
    <w:rPr>
      <w:rFonts w:ascii="华文仿宋" w:hAnsi="华文仿宋" w:eastAsia="华文仿宋" w:cs="华文仿宋"/>
    </w:rPr>
  </w:style>
  <w:style w:type="paragraph" w:customStyle="1" w:styleId="9">
    <w:name w:val="Table Paragraph"/>
    <w:basedOn w:val="1"/>
    <w:qFormat/>
    <w:uiPriority w:val="1"/>
    <w:pPr>
      <w:spacing w:before="21"/>
      <w:ind w:left="73"/>
    </w:pPr>
    <w:rPr>
      <w:rFonts w:ascii="宋体" w:hAnsi="宋体" w:eastAsia="宋体" w:cs="宋体"/>
    </w:rPr>
  </w:style>
  <w:style w:type="paragraph" w:customStyle="1" w:styleId="10">
    <w:name w:val="xl38"/>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2051"/>
    <customShpInfo spid="_x0000_s2052"/>
    <customShpInfo spid="_x0000_s2049"/>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2021-11-30T08:26:00Z</dcterms:created>
  <dc:creator>Administrator</dc:creator>
  <cp:lastModifiedBy>刘煜坤老师</cp:lastModifiedBy>
  <dcterms:modified xsi:type="dcterms:W3CDTF">2021-11-30T09:07:55Z</dcterms:modified>
  <dc:title>北京大学卓越企业家创新创业研修班（第一期）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WPS 文字</vt:lpwstr>
  </property>
  <property fmtid="{D5CDD505-2E9C-101B-9397-08002B2CF9AE}" pid="4" name="LastSaved">
    <vt:filetime>2021-11-30T00:00:00Z</vt:filetime>
  </property>
  <property fmtid="{D5CDD505-2E9C-101B-9397-08002B2CF9AE}" pid="5" name="KSOProductBuildVer">
    <vt:lpwstr>2052-11.1.0.11115</vt:lpwstr>
  </property>
  <property fmtid="{D5CDD505-2E9C-101B-9397-08002B2CF9AE}" pid="6" name="ICV">
    <vt:lpwstr>77C77DA810F14FE6B1C5F640D649F7BB</vt:lpwstr>
  </property>
</Properties>
</file>